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CD" w:rsidRPr="003403CD" w:rsidRDefault="003403CD" w:rsidP="00703270">
      <w:pPr>
        <w:shd w:val="clear" w:color="auto" w:fill="FFFFFF"/>
        <w:spacing w:before="120" w:after="240"/>
        <w:ind w:right="1835"/>
        <w:outlineLvl w:val="1"/>
        <w:rPr>
          <w:rFonts w:cs="Arial"/>
          <w:b/>
          <w:sz w:val="28"/>
          <w:szCs w:val="20"/>
        </w:rPr>
      </w:pPr>
      <w:r w:rsidRPr="003403CD">
        <w:rPr>
          <w:rFonts w:cs="Arial"/>
          <w:b/>
          <w:sz w:val="28"/>
          <w:szCs w:val="20"/>
        </w:rPr>
        <w:t xml:space="preserve">TGW-Kundentag Würth </w:t>
      </w:r>
      <w:proofErr w:type="spellStart"/>
      <w:r w:rsidRPr="003403CD">
        <w:rPr>
          <w:rFonts w:cs="Arial"/>
          <w:b/>
          <w:sz w:val="28"/>
          <w:szCs w:val="20"/>
        </w:rPr>
        <w:t>Eisos</w:t>
      </w:r>
      <w:proofErr w:type="spellEnd"/>
      <w:r w:rsidRPr="003403CD">
        <w:rPr>
          <w:rFonts w:cs="Arial"/>
          <w:b/>
          <w:sz w:val="28"/>
          <w:szCs w:val="20"/>
        </w:rPr>
        <w:t xml:space="preserve">: </w:t>
      </w:r>
      <w:r>
        <w:rPr>
          <w:rFonts w:cs="Arial"/>
          <w:b/>
          <w:sz w:val="28"/>
          <w:szCs w:val="20"/>
        </w:rPr>
        <w:br/>
      </w:r>
      <w:r w:rsidRPr="003403CD">
        <w:rPr>
          <w:rFonts w:cs="Arial"/>
          <w:b/>
          <w:sz w:val="28"/>
          <w:szCs w:val="20"/>
        </w:rPr>
        <w:t xml:space="preserve">Einblick in die Umstellung </w:t>
      </w:r>
      <w:r w:rsidR="00056E39">
        <w:rPr>
          <w:rFonts w:cs="Arial"/>
          <w:b/>
          <w:sz w:val="28"/>
          <w:szCs w:val="20"/>
        </w:rPr>
        <w:t>eine</w:t>
      </w:r>
      <w:r w:rsidR="00A56343">
        <w:rPr>
          <w:rFonts w:cs="Arial"/>
          <w:b/>
          <w:sz w:val="28"/>
          <w:szCs w:val="20"/>
        </w:rPr>
        <w:t>s</w:t>
      </w:r>
      <w:r w:rsidR="00056E39">
        <w:rPr>
          <w:rFonts w:cs="Arial"/>
          <w:b/>
          <w:sz w:val="28"/>
          <w:szCs w:val="20"/>
        </w:rPr>
        <w:t xml:space="preserve"> Hidden Champions von manueller Logistik </w:t>
      </w:r>
      <w:r w:rsidRPr="003403CD">
        <w:rPr>
          <w:rFonts w:cs="Arial"/>
          <w:b/>
          <w:sz w:val="28"/>
          <w:szCs w:val="20"/>
        </w:rPr>
        <w:t>hin zum vollaut</w:t>
      </w:r>
      <w:r w:rsidR="002410E9">
        <w:rPr>
          <w:rFonts w:cs="Arial"/>
          <w:b/>
          <w:sz w:val="28"/>
          <w:szCs w:val="20"/>
        </w:rPr>
        <w:t>omatischen Distributionszentrum</w:t>
      </w:r>
    </w:p>
    <w:p w:rsidR="003403CD" w:rsidRPr="003403CD" w:rsidRDefault="003403CD" w:rsidP="00703270">
      <w:pPr>
        <w:pStyle w:val="StandardWeb"/>
        <w:spacing w:before="120" w:beforeAutospacing="0" w:after="240" w:afterAutospacing="0" w:line="360" w:lineRule="auto"/>
        <w:ind w:right="1835"/>
        <w:textAlignment w:val="baseline"/>
        <w:rPr>
          <w:rFonts w:ascii="Arial" w:eastAsiaTheme="minorHAnsi" w:hAnsi="Arial" w:cs="Arial"/>
          <w:b/>
          <w:sz w:val="20"/>
          <w:szCs w:val="20"/>
          <w:lang w:val="de-DE" w:eastAsia="en-US"/>
        </w:rPr>
      </w:pPr>
      <w:r w:rsidRPr="003403CD">
        <w:rPr>
          <w:rFonts w:ascii="Arial" w:eastAsiaTheme="minorHAnsi" w:hAnsi="Arial" w:cs="Arial"/>
          <w:b/>
          <w:sz w:val="20"/>
          <w:szCs w:val="20"/>
          <w:lang w:val="de-DE" w:eastAsia="en-US"/>
        </w:rPr>
        <w:t>TGW Systems Integration lädt</w:t>
      </w:r>
      <w:r w:rsidR="00703270">
        <w:rPr>
          <w:rFonts w:ascii="Arial" w:eastAsiaTheme="minorHAnsi" w:hAnsi="Arial" w:cs="Arial"/>
          <w:b/>
          <w:sz w:val="20"/>
          <w:szCs w:val="20"/>
          <w:lang w:val="de-DE" w:eastAsia="en-US"/>
        </w:rPr>
        <w:t xml:space="preserve"> Kunden und interessierte Logistikentscheider am Donnerstag, 27. April 2017 zum „Best Practice Day“ in das neue </w:t>
      </w:r>
      <w:r w:rsidRPr="003403CD">
        <w:rPr>
          <w:rFonts w:ascii="Arial" w:eastAsiaTheme="minorHAnsi" w:hAnsi="Arial" w:cs="Arial"/>
          <w:b/>
          <w:sz w:val="20"/>
          <w:szCs w:val="20"/>
          <w:lang w:val="de-DE" w:eastAsia="en-US"/>
        </w:rPr>
        <w:t>Logistikzentrum bei Würth</w:t>
      </w:r>
      <w:r w:rsidR="00703270">
        <w:rPr>
          <w:rFonts w:ascii="Arial" w:eastAsiaTheme="minorHAnsi" w:hAnsi="Arial" w:cs="Arial"/>
          <w:b/>
          <w:sz w:val="20"/>
          <w:szCs w:val="20"/>
          <w:lang w:val="de-DE" w:eastAsia="en-US"/>
        </w:rPr>
        <w:t xml:space="preserve"> Elektronik</w:t>
      </w:r>
      <w:r w:rsidRPr="003403CD">
        <w:rPr>
          <w:rFonts w:ascii="Arial" w:eastAsiaTheme="minorHAnsi" w:hAnsi="Arial" w:cs="Arial"/>
          <w:b/>
          <w:sz w:val="20"/>
          <w:szCs w:val="20"/>
          <w:lang w:val="de-DE" w:eastAsia="en-US"/>
        </w:rPr>
        <w:t xml:space="preserve"> </w:t>
      </w:r>
      <w:proofErr w:type="spellStart"/>
      <w:r w:rsidR="00703270">
        <w:rPr>
          <w:rFonts w:ascii="Arial" w:eastAsiaTheme="minorHAnsi" w:hAnsi="Arial" w:cs="Arial"/>
          <w:b/>
          <w:sz w:val="20"/>
          <w:szCs w:val="20"/>
          <w:lang w:val="de-DE" w:eastAsia="en-US"/>
        </w:rPr>
        <w:t>e</w:t>
      </w:r>
      <w:r w:rsidRPr="003403CD">
        <w:rPr>
          <w:rFonts w:ascii="Arial" w:eastAsiaTheme="minorHAnsi" w:hAnsi="Arial" w:cs="Arial"/>
          <w:b/>
          <w:sz w:val="20"/>
          <w:szCs w:val="20"/>
          <w:lang w:val="de-DE" w:eastAsia="en-US"/>
        </w:rPr>
        <w:t>iSos</w:t>
      </w:r>
      <w:proofErr w:type="spellEnd"/>
      <w:r w:rsidRPr="003403CD">
        <w:rPr>
          <w:rFonts w:ascii="Arial" w:eastAsiaTheme="minorHAnsi" w:hAnsi="Arial" w:cs="Arial"/>
          <w:b/>
          <w:sz w:val="20"/>
          <w:szCs w:val="20"/>
          <w:lang w:val="de-DE" w:eastAsia="en-US"/>
        </w:rPr>
        <w:t xml:space="preserve"> in </w:t>
      </w:r>
      <w:proofErr w:type="spellStart"/>
      <w:r w:rsidRPr="003403CD">
        <w:rPr>
          <w:rFonts w:ascii="Arial" w:eastAsiaTheme="minorHAnsi" w:hAnsi="Arial" w:cs="Arial"/>
          <w:b/>
          <w:sz w:val="20"/>
          <w:szCs w:val="20"/>
          <w:lang w:val="de-DE" w:eastAsia="en-US"/>
        </w:rPr>
        <w:t>Waldenburg</w:t>
      </w:r>
      <w:proofErr w:type="spellEnd"/>
      <w:r w:rsidR="00703270">
        <w:rPr>
          <w:rFonts w:ascii="Arial" w:eastAsiaTheme="minorHAnsi" w:hAnsi="Arial" w:cs="Arial"/>
          <w:b/>
          <w:sz w:val="20"/>
          <w:szCs w:val="20"/>
          <w:lang w:val="de-DE" w:eastAsia="en-US"/>
        </w:rPr>
        <w:t>, Deutschland</w:t>
      </w:r>
      <w:r w:rsidRPr="003403CD">
        <w:rPr>
          <w:rFonts w:ascii="Arial" w:eastAsiaTheme="minorHAnsi" w:hAnsi="Arial" w:cs="Arial"/>
          <w:b/>
          <w:sz w:val="20"/>
          <w:szCs w:val="20"/>
          <w:lang w:val="de-DE" w:eastAsia="en-US"/>
        </w:rPr>
        <w:t xml:space="preserve"> ein. Unter dem Motto „Logistik auf Wachstumskurs“ schildern </w:t>
      </w:r>
      <w:r w:rsidR="00703270">
        <w:rPr>
          <w:rFonts w:ascii="Arial" w:eastAsiaTheme="minorHAnsi" w:hAnsi="Arial" w:cs="Arial"/>
          <w:b/>
          <w:sz w:val="20"/>
          <w:szCs w:val="20"/>
          <w:lang w:val="de-DE" w:eastAsia="en-US"/>
        </w:rPr>
        <w:t xml:space="preserve">Referenten aus dem Hause Würth und </w:t>
      </w:r>
      <w:r w:rsidRPr="003403CD">
        <w:rPr>
          <w:rFonts w:ascii="Arial" w:eastAsiaTheme="minorHAnsi" w:hAnsi="Arial" w:cs="Arial"/>
          <w:b/>
          <w:sz w:val="20"/>
          <w:szCs w:val="20"/>
          <w:lang w:val="de-DE" w:eastAsia="en-US"/>
        </w:rPr>
        <w:t xml:space="preserve">TGW sowie Key-Note Speaker die wichtigsten </w:t>
      </w:r>
      <w:r w:rsidR="00703270">
        <w:rPr>
          <w:rFonts w:ascii="Arial" w:eastAsiaTheme="minorHAnsi" w:hAnsi="Arial" w:cs="Arial"/>
          <w:b/>
          <w:sz w:val="20"/>
          <w:szCs w:val="20"/>
          <w:lang w:val="de-DE" w:eastAsia="en-US"/>
        </w:rPr>
        <w:t>Meilensteine</w:t>
      </w:r>
      <w:r w:rsidRPr="003403CD">
        <w:rPr>
          <w:rFonts w:ascii="Arial" w:eastAsiaTheme="minorHAnsi" w:hAnsi="Arial" w:cs="Arial"/>
          <w:b/>
          <w:sz w:val="20"/>
          <w:szCs w:val="20"/>
          <w:lang w:val="de-DE" w:eastAsia="en-US"/>
        </w:rPr>
        <w:t>, Anforderungen und Entscheidungen auf dem Weg zur Logistikautomatisierung. Anschaulich wird am Best Practice Beispiel des neuen Distributionszentrums die Umstellung von manueller Logistik hin zum vollautomatischen Distributionszentrum erläutert.</w:t>
      </w:r>
    </w:p>
    <w:p w:rsidR="003403CD" w:rsidRPr="003403CD" w:rsidRDefault="00002B6E" w:rsidP="00703270">
      <w:pPr>
        <w:spacing w:before="120" w:after="240"/>
        <w:ind w:right="1835"/>
        <w:textAlignment w:val="baseline"/>
      </w:pPr>
      <w:hyperlink r:id="rId9" w:history="1">
        <w:r w:rsidR="003403CD" w:rsidRPr="003403CD">
          <w:t xml:space="preserve">Würth Elektronik </w:t>
        </w:r>
      </w:hyperlink>
      <w:hyperlink r:id="rId10" w:history="1">
        <w:proofErr w:type="spellStart"/>
        <w:r w:rsidR="003403CD" w:rsidRPr="003403CD">
          <w:t>eiSos</w:t>
        </w:r>
        <w:proofErr w:type="spellEnd"/>
      </w:hyperlink>
      <w:r w:rsidR="003403CD" w:rsidRPr="003403CD">
        <w:t xml:space="preserve"> ist einer der führenden Hersteller von </w:t>
      </w:r>
      <w:hyperlink r:id="rId11" w:history="1">
        <w:r w:rsidR="003403CD" w:rsidRPr="003403CD">
          <w:t>elektronischen und elektromechanischen Bauteilen</w:t>
        </w:r>
      </w:hyperlink>
      <w:r w:rsidR="003403CD" w:rsidRPr="003403CD">
        <w:t xml:space="preserve"> in Europa. Die Investition in ihr neues globales Logistikzentrum ist ein wichtiger Baustein für die Wachstumsstrategie des Unternehmens und gewährleistet den Servicegedanken „24/7 von </w:t>
      </w:r>
      <w:proofErr w:type="spellStart"/>
      <w:r w:rsidR="00703270">
        <w:t>Waldenburg</w:t>
      </w:r>
      <w:proofErr w:type="spellEnd"/>
      <w:r w:rsidR="003403CD" w:rsidRPr="003403CD">
        <w:t xml:space="preserve"> in die Welt“. Das Unternehmen ist in </w:t>
      </w:r>
      <w:hyperlink r:id="rId12" w:history="1">
        <w:r w:rsidR="003403CD" w:rsidRPr="003403CD">
          <w:t xml:space="preserve">43 Ländern </w:t>
        </w:r>
      </w:hyperlink>
      <w:r w:rsidR="003403CD" w:rsidRPr="003403CD">
        <w:t xml:space="preserve">aktiv und die ausgeprägte Serviceorientierung begründet den guten Ruf in der Elektronikbranche. Der hohe Servicelevel mit sofortiger Lieferung ab Lager </w:t>
      </w:r>
      <w:r w:rsidR="0057203E">
        <w:t>ist</w:t>
      </w:r>
      <w:r w:rsidR="003403CD" w:rsidRPr="003403CD">
        <w:t xml:space="preserve"> dank des neuen Logistikzentrums auch bei </w:t>
      </w:r>
      <w:r w:rsidR="0057203E">
        <w:t>weiterem Wachstum gewährleistet.</w:t>
      </w:r>
    </w:p>
    <w:p w:rsidR="003403CD" w:rsidRPr="003403CD" w:rsidRDefault="003403CD" w:rsidP="00703270">
      <w:pPr>
        <w:spacing w:before="120" w:after="240"/>
        <w:ind w:right="1835"/>
      </w:pPr>
      <w:r w:rsidRPr="003403CD">
        <w:t>Anschaulich dargestellt am Praxisb</w:t>
      </w:r>
      <w:r w:rsidR="00703270">
        <w:t>eispiel des innovativen Distributionszentrums</w:t>
      </w:r>
      <w:r w:rsidRPr="003403CD">
        <w:t xml:space="preserve"> können Besucher die wichtigsten Anforderungen, </w:t>
      </w:r>
      <w:r w:rsidR="00703270">
        <w:t>Meilensteine</w:t>
      </w:r>
      <w:r w:rsidRPr="003403CD">
        <w:t xml:space="preserve"> und Entscheidungen auf dem Weg zur Logistikautomatisierung nachvollziehen. 14.000 verschiedene </w:t>
      </w:r>
      <w:r w:rsidR="00056E39">
        <w:t>Elektronik-</w:t>
      </w:r>
      <w:r w:rsidRPr="003403CD">
        <w:t xml:space="preserve">Artikel sind hier ständig ab Lager verfügbar und modernste Technik ermöglicht im Endausbau bis zu 10.000 Entnahmen pro Tag. „Im Fokus der Informationsveranstaltung steht die Umstellung von manueller zu automatisierter Logistik. Wo liegen die Herausforderungen? Was sind die </w:t>
      </w:r>
      <w:proofErr w:type="spellStart"/>
      <w:r w:rsidRPr="003403CD">
        <w:t>Risikominimierer</w:t>
      </w:r>
      <w:proofErr w:type="spellEnd"/>
      <w:r w:rsidRPr="003403CD">
        <w:t xml:space="preserve">?“, sagt Mareike Buska, Business Development </w:t>
      </w:r>
      <w:r w:rsidR="00002B6E">
        <w:t xml:space="preserve">bei </w:t>
      </w:r>
      <w:r w:rsidRPr="003403CD">
        <w:t>TGW Systems Integration. In spannenden Vorträgen erfahren Besucher des Events</w:t>
      </w:r>
      <w:r w:rsidR="00F32453">
        <w:t>,</w:t>
      </w:r>
      <w:r w:rsidRPr="003403CD">
        <w:t xml:space="preserve"> was es zu beachten gilt beim D</w:t>
      </w:r>
      <w:r w:rsidR="00002B6E">
        <w:t>esign eines automatisierten Logistikzentrums</w:t>
      </w:r>
      <w:r w:rsidRPr="003403CD">
        <w:t xml:space="preserve">. Wie kann Erweiterbarkeit und Flexibilität auch für zukünftige Anforderungen eingeplant werden? Welche Voraussetzungen sind für eine erfolgreiche Implementierung und den </w:t>
      </w:r>
      <w:proofErr w:type="spellStart"/>
      <w:r w:rsidRPr="003403CD">
        <w:t>Hochlauf</w:t>
      </w:r>
      <w:proofErr w:type="spellEnd"/>
      <w:r w:rsidRPr="003403CD">
        <w:t xml:space="preserve"> maßgeblich? </w:t>
      </w:r>
    </w:p>
    <w:p w:rsidR="003403CD" w:rsidRPr="003403CD" w:rsidRDefault="003403CD" w:rsidP="00703270">
      <w:pPr>
        <w:spacing w:before="120" w:after="240"/>
        <w:ind w:right="1835"/>
        <w:contextualSpacing/>
      </w:pPr>
      <w:r w:rsidRPr="003403CD">
        <w:lastRenderedPageBreak/>
        <w:t xml:space="preserve">Abgerundet wird das Programm durch Key-Note Vorträge renommierter </w:t>
      </w:r>
      <w:r w:rsidR="003014C4">
        <w:t>Experten</w:t>
      </w:r>
      <w:r w:rsidRPr="003403CD">
        <w:t xml:space="preserve">. Diese beschäftigen sich mit den Erfolgsfaktoren </w:t>
      </w:r>
      <w:r w:rsidR="00F32453">
        <w:t xml:space="preserve">für ein erfolgreiches Betreiben </w:t>
      </w:r>
      <w:r w:rsidRPr="003403CD">
        <w:t>eines stabilen</w:t>
      </w:r>
      <w:r w:rsidR="00F32453">
        <w:t xml:space="preserve"> und leistungsfähigen</w:t>
      </w:r>
      <w:r w:rsidRPr="003403CD">
        <w:t xml:space="preserve"> </w:t>
      </w:r>
      <w:proofErr w:type="spellStart"/>
      <w:r w:rsidRPr="003403CD">
        <w:t>DC’s</w:t>
      </w:r>
      <w:proofErr w:type="spellEnd"/>
      <w:r w:rsidRPr="003403CD">
        <w:t xml:space="preserve">. </w:t>
      </w:r>
      <w:r w:rsidR="00F32453">
        <w:t>E</w:t>
      </w:r>
      <w:r w:rsidRPr="003403CD">
        <w:t>benso werfen interessierte Besucher einen Blick in die Zukunft der Intralogistik</w:t>
      </w:r>
      <w:r w:rsidR="00056E39">
        <w:t>.</w:t>
      </w:r>
      <w:r w:rsidRPr="003403CD">
        <w:t xml:space="preserve"> Shuttle und Ware-zur-Person</w:t>
      </w:r>
      <w:r w:rsidR="00056E39">
        <w:t>-Systeme</w:t>
      </w:r>
      <w:r w:rsidRPr="003403CD">
        <w:t xml:space="preserve"> sind </w:t>
      </w:r>
      <w:r w:rsidR="00F32453">
        <w:t>heute die Norm</w:t>
      </w:r>
      <w:r w:rsidRPr="003403CD">
        <w:t>: Was bringt uns aber die Intralogistik der Zukunft? Wann übernimmt möglicherweise Kollege Roboter?</w:t>
      </w:r>
    </w:p>
    <w:p w:rsidR="003403CD" w:rsidRPr="003403CD" w:rsidRDefault="003403CD" w:rsidP="00703270">
      <w:pPr>
        <w:pStyle w:val="StandardWeb"/>
        <w:spacing w:before="120" w:beforeAutospacing="0" w:after="240" w:afterAutospacing="0" w:line="360" w:lineRule="auto"/>
        <w:ind w:right="1835"/>
        <w:textAlignment w:val="baseline"/>
        <w:rPr>
          <w:rFonts w:ascii="Arial" w:eastAsiaTheme="minorHAnsi" w:hAnsi="Arial" w:cstheme="minorBidi"/>
          <w:sz w:val="20"/>
          <w:szCs w:val="22"/>
          <w:lang w:val="de-DE" w:eastAsia="en-US"/>
        </w:rPr>
      </w:pPr>
      <w:r w:rsidRPr="003403CD">
        <w:rPr>
          <w:rFonts w:ascii="Arial" w:eastAsiaTheme="minorHAnsi" w:hAnsi="Arial" w:cstheme="minorBidi"/>
          <w:sz w:val="20"/>
          <w:szCs w:val="22"/>
          <w:lang w:val="de-DE" w:eastAsia="en-US"/>
        </w:rPr>
        <w:t xml:space="preserve">Als Highlight besichtigen die Besucher des Praxisevents das neue Logistikzentrum der Würth </w:t>
      </w:r>
      <w:r w:rsidR="00002B6E">
        <w:rPr>
          <w:rFonts w:ascii="Arial" w:eastAsiaTheme="minorHAnsi" w:hAnsi="Arial" w:cstheme="minorBidi"/>
          <w:sz w:val="20"/>
          <w:szCs w:val="22"/>
          <w:lang w:val="de-DE" w:eastAsia="en-US"/>
        </w:rPr>
        <w:t xml:space="preserve">Elektronik </w:t>
      </w:r>
      <w:proofErr w:type="spellStart"/>
      <w:r w:rsidR="00002B6E">
        <w:rPr>
          <w:rFonts w:ascii="Arial" w:eastAsiaTheme="minorHAnsi" w:hAnsi="Arial" w:cstheme="minorBidi"/>
          <w:sz w:val="20"/>
          <w:szCs w:val="22"/>
          <w:lang w:val="de-DE" w:eastAsia="en-US"/>
        </w:rPr>
        <w:t>e</w:t>
      </w:r>
      <w:r w:rsidRPr="003403CD">
        <w:rPr>
          <w:rFonts w:ascii="Arial" w:eastAsiaTheme="minorHAnsi" w:hAnsi="Arial" w:cstheme="minorBidi"/>
          <w:sz w:val="20"/>
          <w:szCs w:val="22"/>
          <w:lang w:val="de-DE" w:eastAsia="en-US"/>
        </w:rPr>
        <w:t>iSos</w:t>
      </w:r>
      <w:proofErr w:type="spellEnd"/>
      <w:r w:rsidRPr="003403CD">
        <w:rPr>
          <w:rFonts w:ascii="Arial" w:eastAsiaTheme="minorHAnsi" w:hAnsi="Arial" w:cstheme="minorBidi"/>
          <w:sz w:val="20"/>
          <w:szCs w:val="22"/>
          <w:lang w:val="de-DE" w:eastAsia="en-US"/>
        </w:rPr>
        <w:t xml:space="preserve">. Im neuen Distributionszentrum kommt die gesamte Produktpalette von TGW – vom Shuttle über die Fördertechnik und Pickstationen </w:t>
      </w:r>
      <w:r w:rsidR="00002B6E">
        <w:rPr>
          <w:rFonts w:ascii="Arial" w:eastAsiaTheme="minorHAnsi" w:hAnsi="Arial" w:cstheme="minorBidi"/>
          <w:sz w:val="20"/>
          <w:szCs w:val="22"/>
          <w:lang w:val="de-DE" w:eastAsia="en-US"/>
        </w:rPr>
        <w:t>–</w:t>
      </w:r>
      <w:r w:rsidR="00DF6B46">
        <w:rPr>
          <w:rFonts w:ascii="Arial" w:eastAsiaTheme="minorHAnsi" w:hAnsi="Arial" w:cstheme="minorBidi"/>
          <w:sz w:val="20"/>
          <w:szCs w:val="22"/>
          <w:lang w:val="de-DE" w:eastAsia="en-US"/>
        </w:rPr>
        <w:t xml:space="preserve"> </w:t>
      </w:r>
      <w:r w:rsidRPr="003403CD">
        <w:rPr>
          <w:rFonts w:ascii="Arial" w:eastAsiaTheme="minorHAnsi" w:hAnsi="Arial" w:cstheme="minorBidi"/>
          <w:sz w:val="20"/>
          <w:szCs w:val="22"/>
          <w:lang w:val="de-DE" w:eastAsia="en-US"/>
        </w:rPr>
        <w:t>zum Einsatz. Herzstück d</w:t>
      </w:r>
      <w:r w:rsidR="00002B6E">
        <w:rPr>
          <w:rFonts w:ascii="Arial" w:eastAsiaTheme="minorHAnsi" w:hAnsi="Arial" w:cstheme="minorBidi"/>
          <w:sz w:val="20"/>
          <w:szCs w:val="22"/>
          <w:lang w:val="de-DE" w:eastAsia="en-US"/>
        </w:rPr>
        <w:t>er Anlage ist das Shuttlesystem</w:t>
      </w:r>
      <w:r w:rsidRPr="003403CD">
        <w:rPr>
          <w:rFonts w:ascii="Arial" w:eastAsiaTheme="minorHAnsi" w:hAnsi="Arial" w:cstheme="minorBidi"/>
          <w:sz w:val="20"/>
          <w:szCs w:val="22"/>
          <w:lang w:val="de-DE" w:eastAsia="en-US"/>
        </w:rPr>
        <w:t xml:space="preserve">. </w:t>
      </w:r>
      <w:r w:rsidR="00056E39">
        <w:rPr>
          <w:rFonts w:ascii="Arial" w:eastAsiaTheme="minorHAnsi" w:hAnsi="Arial" w:cstheme="minorBidi"/>
          <w:sz w:val="20"/>
          <w:szCs w:val="22"/>
          <w:lang w:val="de-DE" w:eastAsia="en-US"/>
        </w:rPr>
        <w:t xml:space="preserve">Das in der Breite des Lastaufnahmemittels variable Shuttle </w:t>
      </w:r>
      <w:r w:rsidRPr="003403CD">
        <w:rPr>
          <w:rFonts w:ascii="Arial" w:eastAsiaTheme="minorHAnsi" w:hAnsi="Arial" w:cstheme="minorBidi"/>
          <w:sz w:val="20"/>
          <w:szCs w:val="22"/>
          <w:lang w:val="de-DE" w:eastAsia="en-US"/>
        </w:rPr>
        <w:t>dient der Versorgung der Kommissionier-Arbeitsplätze und erlaubt die Lagerung von Behältern und Kartons unterschiedlicher Größe</w:t>
      </w:r>
      <w:r w:rsidR="002E5AF7">
        <w:rPr>
          <w:rFonts w:ascii="Arial" w:eastAsiaTheme="minorHAnsi" w:hAnsi="Arial" w:cstheme="minorBidi"/>
          <w:sz w:val="20"/>
          <w:szCs w:val="22"/>
          <w:lang w:val="de-DE" w:eastAsia="en-US"/>
        </w:rPr>
        <w:t>n</w:t>
      </w:r>
      <w:r w:rsidR="00002B6E">
        <w:rPr>
          <w:rFonts w:ascii="Arial" w:eastAsiaTheme="minorHAnsi" w:hAnsi="Arial" w:cstheme="minorBidi"/>
          <w:sz w:val="20"/>
          <w:szCs w:val="22"/>
          <w:lang w:val="de-DE" w:eastAsia="en-US"/>
        </w:rPr>
        <w:t xml:space="preserve"> in ein und demselben System – </w:t>
      </w:r>
      <w:r w:rsidRPr="003403CD">
        <w:rPr>
          <w:rFonts w:ascii="Arial" w:eastAsiaTheme="minorHAnsi" w:hAnsi="Arial" w:cstheme="minorBidi"/>
          <w:sz w:val="20"/>
          <w:szCs w:val="22"/>
          <w:lang w:val="de-DE" w:eastAsia="en-US"/>
        </w:rPr>
        <w:t xml:space="preserve">auch </w:t>
      </w:r>
      <w:r w:rsidR="002E5AF7">
        <w:rPr>
          <w:rFonts w:ascii="Arial" w:eastAsiaTheme="minorHAnsi" w:hAnsi="Arial" w:cstheme="minorBidi"/>
          <w:sz w:val="20"/>
          <w:szCs w:val="22"/>
          <w:lang w:val="de-DE" w:eastAsia="en-US"/>
        </w:rPr>
        <w:t>ohne das Aufsetzen auf Tablare.</w:t>
      </w:r>
    </w:p>
    <w:p w:rsidR="003403CD" w:rsidRPr="003403CD" w:rsidRDefault="00002B6E" w:rsidP="00703270">
      <w:pPr>
        <w:autoSpaceDE w:val="0"/>
        <w:autoSpaceDN w:val="0"/>
        <w:adjustRightInd w:val="0"/>
        <w:spacing w:before="120" w:after="240"/>
        <w:ind w:right="1835"/>
      </w:pPr>
      <w:r>
        <w:t>Der Best Practice Day</w:t>
      </w:r>
      <w:r w:rsidR="003403CD" w:rsidRPr="003403CD">
        <w:t xml:space="preserve"> richtet sich an Logistik-, Betriebs- und IT-Leiter. Veranstaltungsort ist das Distributionszentrum der Würth </w:t>
      </w:r>
      <w:r>
        <w:t xml:space="preserve">Elektronik </w:t>
      </w:r>
      <w:proofErr w:type="spellStart"/>
      <w:r>
        <w:t>e</w:t>
      </w:r>
      <w:r w:rsidR="003403CD" w:rsidRPr="003403CD">
        <w:t>isos</w:t>
      </w:r>
      <w:proofErr w:type="spellEnd"/>
      <w:r w:rsidR="003403CD" w:rsidRPr="003403CD">
        <w:t xml:space="preserve"> in </w:t>
      </w:r>
      <w:proofErr w:type="spellStart"/>
      <w:r w:rsidR="003403CD" w:rsidRPr="003403CD">
        <w:t>Waldenburg</w:t>
      </w:r>
      <w:proofErr w:type="spellEnd"/>
      <w:r>
        <w:t>, Deutschland</w:t>
      </w:r>
      <w:r w:rsidR="003403CD" w:rsidRPr="003403CD">
        <w:t>. Detaillierte Informationen sowie eine Reservierungsmög</w:t>
      </w:r>
      <w:r>
        <w:t xml:space="preserve">lichkeit für Tickets gibt es auf der TGW-Website </w:t>
      </w:r>
      <w:r w:rsidR="003403CD" w:rsidRPr="003403CD">
        <w:t xml:space="preserve">unter </w:t>
      </w:r>
      <w:hyperlink r:id="rId13" w:history="1">
        <w:r w:rsidRPr="00562FAD">
          <w:rPr>
            <w:rStyle w:val="Hyperlink"/>
          </w:rPr>
          <w:t>http://www.tgw-group.com/Wuerth-Best-Practice</w:t>
        </w:r>
      </w:hyperlink>
      <w:r>
        <w:t xml:space="preserve"> </w:t>
      </w:r>
      <w:r>
        <w:br/>
      </w:r>
      <w:r w:rsidR="003403CD" w:rsidRPr="003403CD">
        <w:t xml:space="preserve">Anmeldeschluss ist der 20. April 2017. Die Teilnahme ist kostenlos. </w:t>
      </w:r>
    </w:p>
    <w:p w:rsidR="00ED3142" w:rsidRPr="00B5187D" w:rsidRDefault="00002B6E" w:rsidP="00703270">
      <w:pPr>
        <w:spacing w:before="120" w:after="240"/>
        <w:ind w:right="1835"/>
        <w:rPr>
          <w:lang w:val="de-AT"/>
        </w:rPr>
      </w:pPr>
      <w:hyperlink r:id="rId14" w:history="1">
        <w:r w:rsidR="007E33BD" w:rsidRPr="00B5187D">
          <w:rPr>
            <w:rStyle w:val="Hyperlink"/>
            <w:lang w:val="de-AT"/>
          </w:rPr>
          <w:t>www.tgw-group.com</w:t>
        </w:r>
      </w:hyperlink>
      <w:bookmarkStart w:id="0" w:name="_GoBack"/>
      <w:bookmarkEnd w:id="0"/>
    </w:p>
    <w:p w:rsidR="00ED3142" w:rsidRPr="00B5187D" w:rsidRDefault="00ED3142" w:rsidP="007B5207">
      <w:pPr>
        <w:spacing w:before="240" w:after="120"/>
        <w:ind w:right="1837"/>
        <w:rPr>
          <w:lang w:val="de-AT"/>
        </w:rPr>
      </w:pPr>
    </w:p>
    <w:p w:rsidR="00ED3142" w:rsidRPr="00D32A12" w:rsidRDefault="00ED3142" w:rsidP="007B5207">
      <w:pPr>
        <w:spacing w:before="240" w:after="120"/>
        <w:ind w:right="1837"/>
        <w:rPr>
          <w:b/>
          <w:lang w:val="de-CH"/>
        </w:rPr>
      </w:pPr>
      <w:r w:rsidRPr="00D32A12">
        <w:rPr>
          <w:b/>
          <w:lang w:val="de-CH"/>
        </w:rPr>
        <w:t>Über die TGW Logistics Group:</w:t>
      </w:r>
    </w:p>
    <w:p w:rsidR="00ED3142" w:rsidRDefault="00ED3142" w:rsidP="007B5207">
      <w:pPr>
        <w:spacing w:before="240" w:after="12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ED3142" w:rsidRDefault="00ED3142" w:rsidP="007B5207">
      <w:pPr>
        <w:spacing w:before="240" w:after="120"/>
        <w:ind w:right="1837"/>
      </w:pPr>
      <w:r>
        <w:t>Mit rund 2.</w:t>
      </w:r>
      <w:r w:rsidR="006676D0">
        <w:t>6</w:t>
      </w:r>
      <w:r>
        <w:t>00 Mitarbeitern weltweit realisiert die Gruppe Logistiklösungen für führende Unternehmen in verschiedensten Branchen. Dadurch erzielte die TGW Logistics Group im Wirtschaftsjahr 201</w:t>
      </w:r>
      <w:r w:rsidR="009860EB">
        <w:t>5</w:t>
      </w:r>
      <w:r>
        <w:t>/1</w:t>
      </w:r>
      <w:r w:rsidR="009860EB">
        <w:t>6</w:t>
      </w:r>
      <w:r>
        <w:t xml:space="preserve"> Umsatzerlöse von </w:t>
      </w:r>
      <w:r w:rsidR="009860EB">
        <w:t>532</w:t>
      </w:r>
      <w:r>
        <w:t xml:space="preserve"> Mio.</w:t>
      </w:r>
      <w:r w:rsidR="00102B91" w:rsidRPr="00102B91">
        <w:t xml:space="preserve"> </w:t>
      </w:r>
      <w:r w:rsidR="00102B91">
        <w:t>€.</w:t>
      </w:r>
    </w:p>
    <w:p w:rsidR="00ED3142" w:rsidRDefault="00ED3142" w:rsidP="007B5207">
      <w:pPr>
        <w:spacing w:before="240" w:after="120"/>
        <w:ind w:right="1837"/>
      </w:pPr>
    </w:p>
    <w:p w:rsidR="00ED3142" w:rsidRPr="00ED3142" w:rsidRDefault="00ED3142" w:rsidP="007B5207">
      <w:pPr>
        <w:spacing w:before="240" w:after="120"/>
        <w:ind w:right="1837"/>
        <w:rPr>
          <w:b/>
        </w:rPr>
      </w:pPr>
      <w:r w:rsidRPr="00ED3142">
        <w:rPr>
          <w:b/>
        </w:rPr>
        <w:t>Bilder:</w:t>
      </w:r>
    </w:p>
    <w:p w:rsidR="00ED3142" w:rsidRDefault="00ED3142" w:rsidP="007B5207">
      <w:pPr>
        <w:spacing w:before="240" w:after="120"/>
        <w:ind w:right="1837"/>
      </w:pPr>
      <w:r>
        <w:lastRenderedPageBreak/>
        <w:t>Abdruck mit Quellangabe und zu Presseberichten, die sich vorwiegend mit der TGW Logistics Group GmbH befassen, honorarfrei. Kein honorarfreier Abdruck für werbliche Zwecke.</w:t>
      </w:r>
    </w:p>
    <w:p w:rsidR="00FE2E8B" w:rsidRDefault="00FE2E8B" w:rsidP="007B5207">
      <w:pPr>
        <w:spacing w:before="240" w:after="120"/>
        <w:ind w:right="1837"/>
      </w:pPr>
    </w:p>
    <w:p w:rsidR="00ED3142" w:rsidRPr="005C1621" w:rsidRDefault="00ED3142" w:rsidP="00FE2E8B">
      <w:pPr>
        <w:spacing w:line="240" w:lineRule="auto"/>
        <w:ind w:right="1837"/>
        <w:rPr>
          <w:b/>
          <w:lang w:val="de-AT"/>
        </w:rPr>
      </w:pPr>
      <w:r w:rsidRPr="005C1621">
        <w:rPr>
          <w:b/>
          <w:lang w:val="de-AT"/>
        </w:rPr>
        <w:t>Kontakt:</w:t>
      </w:r>
    </w:p>
    <w:p w:rsidR="00ED3142" w:rsidRPr="005C1621" w:rsidRDefault="00ED3142" w:rsidP="00FE2E8B">
      <w:pPr>
        <w:spacing w:line="240" w:lineRule="auto"/>
        <w:ind w:right="1837"/>
        <w:rPr>
          <w:lang w:val="de-AT"/>
        </w:rPr>
      </w:pPr>
      <w:r w:rsidRPr="005C1621">
        <w:rPr>
          <w:lang w:val="de-AT"/>
        </w:rPr>
        <w:t>TGW Logistics Group GmbH</w:t>
      </w:r>
    </w:p>
    <w:p w:rsidR="00ED3142" w:rsidRPr="002410E9" w:rsidRDefault="00ED3142" w:rsidP="00FE2E8B">
      <w:pPr>
        <w:spacing w:line="240" w:lineRule="auto"/>
        <w:ind w:right="1837"/>
        <w:rPr>
          <w:lang w:val="en-US"/>
        </w:rPr>
      </w:pPr>
      <w:r w:rsidRPr="002410E9">
        <w:rPr>
          <w:lang w:val="en-US"/>
        </w:rPr>
        <w:t xml:space="preserve">A-4600 Wels, </w:t>
      </w:r>
      <w:proofErr w:type="spellStart"/>
      <w:r w:rsidRPr="002410E9">
        <w:rPr>
          <w:lang w:val="en-US"/>
        </w:rPr>
        <w:t>Collmannstraße</w:t>
      </w:r>
      <w:proofErr w:type="spellEnd"/>
      <w:r w:rsidRPr="002410E9">
        <w:rPr>
          <w:lang w:val="en-US"/>
        </w:rPr>
        <w:t xml:space="preserve"> 2</w:t>
      </w:r>
    </w:p>
    <w:p w:rsidR="00ED3142" w:rsidRPr="002410E9" w:rsidRDefault="00ED3142" w:rsidP="00FE2E8B">
      <w:pPr>
        <w:spacing w:line="240" w:lineRule="auto"/>
        <w:ind w:right="1837"/>
        <w:rPr>
          <w:lang w:val="en-US"/>
        </w:rPr>
      </w:pPr>
      <w:r w:rsidRPr="002410E9">
        <w:rPr>
          <w:lang w:val="en-US"/>
        </w:rPr>
        <w:t>T: +43.(0)7242.486-0</w:t>
      </w:r>
    </w:p>
    <w:p w:rsidR="00ED3142" w:rsidRPr="002410E9" w:rsidRDefault="00ED3142" w:rsidP="00FE2E8B">
      <w:pPr>
        <w:spacing w:line="240" w:lineRule="auto"/>
        <w:ind w:right="1837"/>
        <w:rPr>
          <w:lang w:val="en-US"/>
        </w:rPr>
      </w:pPr>
      <w:r w:rsidRPr="002410E9">
        <w:rPr>
          <w:lang w:val="en-US"/>
        </w:rPr>
        <w:t>F: +43.(0)7242.486-31</w:t>
      </w:r>
    </w:p>
    <w:p w:rsidR="00ED3142" w:rsidRPr="002410E9" w:rsidRDefault="00ED3142" w:rsidP="00FE2E8B">
      <w:pPr>
        <w:spacing w:line="240" w:lineRule="auto"/>
        <w:ind w:right="1837"/>
        <w:rPr>
          <w:lang w:val="en-US"/>
        </w:rPr>
      </w:pPr>
      <w:r w:rsidRPr="002410E9">
        <w:rPr>
          <w:lang w:val="en-US"/>
        </w:rPr>
        <w:t>E-Mail: tgw@tgw-group.com</w:t>
      </w:r>
      <w:r w:rsidRPr="002410E9">
        <w:rPr>
          <w:lang w:val="en-US"/>
        </w:rPr>
        <w:tab/>
      </w:r>
    </w:p>
    <w:p w:rsidR="00ED3142" w:rsidRPr="002410E9" w:rsidRDefault="00ED3142" w:rsidP="00FE2E8B">
      <w:pPr>
        <w:spacing w:line="240" w:lineRule="auto"/>
        <w:ind w:right="1837"/>
        <w:rPr>
          <w:lang w:val="en-US"/>
        </w:rPr>
      </w:pPr>
    </w:p>
    <w:p w:rsidR="003403CD" w:rsidRDefault="003403CD" w:rsidP="003403CD">
      <w:pPr>
        <w:spacing w:line="240" w:lineRule="auto"/>
        <w:ind w:right="701"/>
        <w:rPr>
          <w:b/>
          <w:lang w:val="en-US"/>
        </w:rPr>
      </w:pPr>
    </w:p>
    <w:p w:rsidR="003403CD" w:rsidRPr="003403CD" w:rsidRDefault="003403CD" w:rsidP="003403CD">
      <w:pPr>
        <w:spacing w:line="240" w:lineRule="auto"/>
        <w:ind w:right="701"/>
        <w:rPr>
          <w:b/>
          <w:lang w:val="en-US"/>
        </w:rPr>
      </w:pPr>
      <w:proofErr w:type="spellStart"/>
      <w:r>
        <w:rPr>
          <w:b/>
          <w:lang w:val="en-US"/>
        </w:rPr>
        <w:t>Kunden</w:t>
      </w:r>
      <w:r w:rsidRPr="003403CD">
        <w:rPr>
          <w:b/>
          <w:lang w:val="en-US"/>
        </w:rPr>
        <w:t>kontakt</w:t>
      </w:r>
      <w:proofErr w:type="spellEnd"/>
      <w:r w:rsidRPr="003403CD">
        <w:rPr>
          <w:b/>
          <w:lang w:val="en-US"/>
        </w:rPr>
        <w:t>:</w:t>
      </w:r>
    </w:p>
    <w:p w:rsidR="003403CD" w:rsidRPr="003403CD" w:rsidRDefault="003403CD" w:rsidP="003403CD">
      <w:pPr>
        <w:spacing w:line="240" w:lineRule="auto"/>
        <w:ind w:right="701"/>
        <w:rPr>
          <w:lang w:val="en-US"/>
        </w:rPr>
      </w:pPr>
      <w:r>
        <w:rPr>
          <w:lang w:val="en-US"/>
        </w:rPr>
        <w:t>Mareike Buska</w:t>
      </w:r>
      <w:r w:rsidRPr="003403CD">
        <w:rPr>
          <w:lang w:val="en-US"/>
        </w:rPr>
        <w:tab/>
      </w:r>
      <w:r w:rsidRPr="003403CD">
        <w:rPr>
          <w:lang w:val="en-US"/>
        </w:rPr>
        <w:tab/>
      </w:r>
      <w:r w:rsidRPr="003403CD">
        <w:rPr>
          <w:lang w:val="en-US"/>
        </w:rPr>
        <w:tab/>
      </w:r>
      <w:r w:rsidRPr="003403CD">
        <w:rPr>
          <w:lang w:val="en-US"/>
        </w:rPr>
        <w:tab/>
      </w:r>
    </w:p>
    <w:p w:rsidR="003403CD" w:rsidRPr="005278C0" w:rsidRDefault="003403CD" w:rsidP="003403CD">
      <w:pPr>
        <w:spacing w:line="240" w:lineRule="auto"/>
        <w:ind w:right="701"/>
        <w:rPr>
          <w:lang w:val="en-GB"/>
        </w:rPr>
      </w:pPr>
      <w:r>
        <w:rPr>
          <w:lang w:val="en-GB"/>
        </w:rPr>
        <w:t>Manager Business Development</w:t>
      </w:r>
      <w:r w:rsidRPr="005278C0">
        <w:rPr>
          <w:lang w:val="en-GB"/>
        </w:rPr>
        <w:tab/>
        <w:t xml:space="preserve">    </w:t>
      </w:r>
    </w:p>
    <w:p w:rsidR="003403CD" w:rsidRPr="003403CD" w:rsidRDefault="003403CD" w:rsidP="003403CD">
      <w:pPr>
        <w:spacing w:line="240" w:lineRule="auto"/>
        <w:ind w:right="701"/>
        <w:rPr>
          <w:lang w:val="en-GB"/>
        </w:rPr>
      </w:pPr>
      <w:r w:rsidRPr="003403CD">
        <w:rPr>
          <w:lang w:val="en-GB"/>
        </w:rPr>
        <w:t>M: +49 (0)151 1 93 422 93</w:t>
      </w:r>
      <w:r w:rsidRPr="003403CD">
        <w:rPr>
          <w:lang w:val="en-GB"/>
        </w:rPr>
        <w:tab/>
      </w:r>
      <w:r w:rsidRPr="003403CD">
        <w:rPr>
          <w:lang w:val="en-GB"/>
        </w:rPr>
        <w:tab/>
      </w:r>
      <w:r w:rsidRPr="003403CD">
        <w:rPr>
          <w:lang w:val="en-GB"/>
        </w:rPr>
        <w:tab/>
      </w:r>
    </w:p>
    <w:p w:rsidR="003403CD" w:rsidRPr="003403CD" w:rsidRDefault="003403CD" w:rsidP="003403CD">
      <w:pPr>
        <w:spacing w:line="240" w:lineRule="auto"/>
        <w:ind w:right="701"/>
        <w:rPr>
          <w:lang w:val="en-GB"/>
        </w:rPr>
      </w:pPr>
      <w:proofErr w:type="spellStart"/>
      <w:r w:rsidRPr="003403CD">
        <w:rPr>
          <w:lang w:val="en-GB"/>
        </w:rPr>
        <w:t>mareike.buska</w:t>
      </w:r>
      <w:proofErr w:type="spellEnd"/>
      <w:r w:rsidRPr="003403CD">
        <w:rPr>
          <w:lang w:val="en-GB"/>
        </w:rPr>
        <w:t>@@tgw-group.com</w:t>
      </w:r>
      <w:r w:rsidRPr="003403CD">
        <w:rPr>
          <w:lang w:val="en-GB"/>
        </w:rPr>
        <w:tab/>
      </w:r>
      <w:r w:rsidRPr="003403CD">
        <w:rPr>
          <w:lang w:val="en-GB"/>
        </w:rPr>
        <w:tab/>
      </w:r>
    </w:p>
    <w:p w:rsidR="003403CD" w:rsidRPr="002410E9" w:rsidRDefault="003403CD" w:rsidP="003403CD">
      <w:pPr>
        <w:spacing w:line="240" w:lineRule="auto"/>
        <w:ind w:right="701"/>
        <w:rPr>
          <w:lang w:val="en-GB"/>
        </w:rPr>
      </w:pPr>
    </w:p>
    <w:p w:rsidR="003403CD" w:rsidRPr="002410E9" w:rsidRDefault="003403CD" w:rsidP="007E33BD">
      <w:pPr>
        <w:spacing w:line="240" w:lineRule="auto"/>
        <w:ind w:right="701"/>
        <w:rPr>
          <w:b/>
          <w:lang w:val="en-GB"/>
        </w:rPr>
      </w:pPr>
    </w:p>
    <w:p w:rsidR="00ED3142" w:rsidRPr="002410E9" w:rsidRDefault="00ED3142" w:rsidP="007E33BD">
      <w:pPr>
        <w:spacing w:line="240" w:lineRule="auto"/>
        <w:ind w:right="701"/>
        <w:rPr>
          <w:b/>
          <w:lang w:val="en-US"/>
        </w:rPr>
      </w:pPr>
      <w:proofErr w:type="spellStart"/>
      <w:r w:rsidRPr="002410E9">
        <w:rPr>
          <w:b/>
          <w:lang w:val="en-US"/>
        </w:rPr>
        <w:t>Pressekontakt</w:t>
      </w:r>
      <w:proofErr w:type="spellEnd"/>
      <w:r w:rsidRPr="002410E9">
        <w:rPr>
          <w:b/>
          <w:lang w:val="en-US"/>
        </w:rPr>
        <w:t>:</w:t>
      </w:r>
    </w:p>
    <w:p w:rsidR="00ED3142" w:rsidRPr="002410E9" w:rsidRDefault="00ED3142" w:rsidP="007E33BD">
      <w:pPr>
        <w:spacing w:line="240" w:lineRule="auto"/>
        <w:ind w:right="701"/>
        <w:rPr>
          <w:lang w:val="en-US"/>
        </w:rPr>
      </w:pPr>
      <w:r w:rsidRPr="002410E9">
        <w:rPr>
          <w:lang w:val="en-US"/>
        </w:rPr>
        <w:t>Martin Kirchmayr</w:t>
      </w:r>
      <w:r w:rsidRPr="002410E9">
        <w:rPr>
          <w:lang w:val="en-US"/>
        </w:rPr>
        <w:tab/>
      </w:r>
      <w:r w:rsidRPr="002410E9">
        <w:rPr>
          <w:lang w:val="en-US"/>
        </w:rPr>
        <w:tab/>
      </w:r>
      <w:r w:rsidRPr="002410E9">
        <w:rPr>
          <w:lang w:val="en-US"/>
        </w:rPr>
        <w:tab/>
      </w:r>
      <w:r w:rsidRPr="002410E9">
        <w:rPr>
          <w:lang w:val="en-US"/>
        </w:rPr>
        <w:tab/>
        <w:t>Daniela Nowak</w:t>
      </w:r>
    </w:p>
    <w:p w:rsidR="00ED3142" w:rsidRPr="005278C0" w:rsidRDefault="00ED3142" w:rsidP="007E33BD">
      <w:pPr>
        <w:spacing w:line="240" w:lineRule="auto"/>
        <w:ind w:right="701"/>
        <w:rPr>
          <w:lang w:val="en-GB"/>
        </w:rPr>
      </w:pPr>
      <w:r w:rsidRPr="005278C0">
        <w:rPr>
          <w:lang w:val="en-GB"/>
        </w:rPr>
        <w:t>Marketing &amp; Communication Manager</w:t>
      </w:r>
      <w:r w:rsidRPr="005278C0">
        <w:rPr>
          <w:lang w:val="en-GB"/>
        </w:rPr>
        <w:tab/>
        <w:t xml:space="preserve">    </w:t>
      </w:r>
      <w:r w:rsidRPr="005278C0">
        <w:rPr>
          <w:lang w:val="en-GB"/>
        </w:rPr>
        <w:tab/>
        <w:t>Marketing &amp; Communication Specialist</w:t>
      </w:r>
    </w:p>
    <w:p w:rsidR="00ED3142" w:rsidRPr="00703270" w:rsidRDefault="00ED3142" w:rsidP="007E33BD">
      <w:pPr>
        <w:spacing w:line="240" w:lineRule="auto"/>
        <w:ind w:right="701"/>
        <w:rPr>
          <w:lang w:val="en-GB"/>
        </w:rPr>
      </w:pPr>
      <w:r w:rsidRPr="00703270">
        <w:rPr>
          <w:lang w:val="en-GB"/>
        </w:rPr>
        <w:t>T: +43.(0)7242.486-1382</w:t>
      </w:r>
      <w:r w:rsidRPr="00703270">
        <w:rPr>
          <w:lang w:val="en-GB"/>
        </w:rPr>
        <w:tab/>
      </w:r>
      <w:r w:rsidRPr="00703270">
        <w:rPr>
          <w:lang w:val="en-GB"/>
        </w:rPr>
        <w:tab/>
      </w:r>
      <w:r w:rsidRPr="00703270">
        <w:rPr>
          <w:lang w:val="en-GB"/>
        </w:rPr>
        <w:tab/>
        <w:t>T: +43.(0)7242.486-1059</w:t>
      </w:r>
    </w:p>
    <w:p w:rsidR="00ED3142" w:rsidRPr="00703270" w:rsidRDefault="00ED3142" w:rsidP="007E33BD">
      <w:pPr>
        <w:spacing w:line="240" w:lineRule="auto"/>
        <w:ind w:right="701"/>
        <w:rPr>
          <w:lang w:val="en-GB"/>
        </w:rPr>
      </w:pPr>
      <w:r w:rsidRPr="00703270">
        <w:rPr>
          <w:lang w:val="en-GB"/>
        </w:rPr>
        <w:t>M: +43.(0)664.8187423</w:t>
      </w:r>
    </w:p>
    <w:p w:rsidR="00FE44DF" w:rsidRPr="00703270" w:rsidRDefault="00ED3142" w:rsidP="007E33BD">
      <w:pPr>
        <w:spacing w:line="240" w:lineRule="auto"/>
        <w:ind w:right="701"/>
        <w:rPr>
          <w:lang w:val="en-GB"/>
        </w:rPr>
      </w:pPr>
      <w:r w:rsidRPr="00703270">
        <w:rPr>
          <w:lang w:val="en-GB"/>
        </w:rPr>
        <w:t>martin.kirchmayr@tgw-group.com</w:t>
      </w:r>
      <w:r w:rsidRPr="00703270">
        <w:rPr>
          <w:lang w:val="en-GB"/>
        </w:rPr>
        <w:tab/>
      </w:r>
      <w:r w:rsidRPr="00703270">
        <w:rPr>
          <w:lang w:val="en-GB"/>
        </w:rPr>
        <w:tab/>
      </w:r>
      <w:hyperlink r:id="rId15" w:history="1">
        <w:r w:rsidR="003403CD" w:rsidRPr="00703270">
          <w:rPr>
            <w:rStyle w:val="Hyperlink"/>
            <w:lang w:val="en-GB"/>
          </w:rPr>
          <w:t>daniela.nowak@tgw-group.com</w:t>
        </w:r>
      </w:hyperlink>
    </w:p>
    <w:p w:rsidR="003403CD" w:rsidRPr="00703270" w:rsidRDefault="003403CD" w:rsidP="007E33BD">
      <w:pPr>
        <w:spacing w:line="240" w:lineRule="auto"/>
        <w:ind w:right="701"/>
        <w:rPr>
          <w:lang w:val="en-GB"/>
        </w:rPr>
      </w:pPr>
    </w:p>
    <w:p w:rsidR="003403CD" w:rsidRPr="00703270" w:rsidRDefault="003403CD" w:rsidP="007E33BD">
      <w:pPr>
        <w:spacing w:line="240" w:lineRule="auto"/>
        <w:ind w:right="701"/>
        <w:rPr>
          <w:lang w:val="en-GB"/>
        </w:rPr>
      </w:pPr>
    </w:p>
    <w:sectPr w:rsidR="003403CD" w:rsidRPr="00703270" w:rsidSect="00193DF6">
      <w:headerReference w:type="default" r:id="rId16"/>
      <w:footerReference w:type="default" r:id="rId17"/>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92" w:rsidRDefault="000A3592" w:rsidP="00764006">
      <w:pPr>
        <w:spacing w:line="240" w:lineRule="auto"/>
      </w:pPr>
      <w:r>
        <w:separator/>
      </w:r>
    </w:p>
  </w:endnote>
  <w:endnote w:type="continuationSeparator" w:id="0">
    <w:p w:rsidR="000A3592" w:rsidRDefault="000A359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002B6E">
            <w:rPr>
              <w:noProof/>
              <w:sz w:val="16"/>
            </w:rPr>
            <w:t>3</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002B6E">
            <w:rPr>
              <w:noProof/>
              <w:sz w:val="16"/>
            </w:rPr>
            <w:t>3</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92" w:rsidRDefault="000A3592" w:rsidP="00764006">
      <w:pPr>
        <w:spacing w:line="240" w:lineRule="auto"/>
      </w:pPr>
      <w:r>
        <w:separator/>
      </w:r>
    </w:p>
  </w:footnote>
  <w:footnote w:type="continuationSeparator" w:id="0">
    <w:p w:rsidR="000A3592" w:rsidRDefault="000A3592"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1A81E5BE" wp14:editId="045774F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874EED">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5804BCE"/>
    <w:multiLevelType w:val="hybridMultilevel"/>
    <w:tmpl w:val="5FF47B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02B6E"/>
    <w:rsid w:val="000303FD"/>
    <w:rsid w:val="0005396E"/>
    <w:rsid w:val="00056E39"/>
    <w:rsid w:val="0006348C"/>
    <w:rsid w:val="00064DC5"/>
    <w:rsid w:val="000A0230"/>
    <w:rsid w:val="000A3592"/>
    <w:rsid w:val="000A490F"/>
    <w:rsid w:val="000B45BB"/>
    <w:rsid w:val="000C7214"/>
    <w:rsid w:val="000E286C"/>
    <w:rsid w:val="000F7D85"/>
    <w:rsid w:val="00102B91"/>
    <w:rsid w:val="00135146"/>
    <w:rsid w:val="00152BD4"/>
    <w:rsid w:val="00166512"/>
    <w:rsid w:val="0017018E"/>
    <w:rsid w:val="001744E5"/>
    <w:rsid w:val="00181531"/>
    <w:rsid w:val="00183096"/>
    <w:rsid w:val="00193DF6"/>
    <w:rsid w:val="001A6670"/>
    <w:rsid w:val="001E7058"/>
    <w:rsid w:val="001F5208"/>
    <w:rsid w:val="00222B47"/>
    <w:rsid w:val="002410E9"/>
    <w:rsid w:val="00252CD7"/>
    <w:rsid w:val="0026487A"/>
    <w:rsid w:val="00277AF6"/>
    <w:rsid w:val="00292EE3"/>
    <w:rsid w:val="002B70FC"/>
    <w:rsid w:val="002C3AE4"/>
    <w:rsid w:val="002E5AF7"/>
    <w:rsid w:val="002E621E"/>
    <w:rsid w:val="003014C4"/>
    <w:rsid w:val="003403CD"/>
    <w:rsid w:val="00356DAA"/>
    <w:rsid w:val="003572A1"/>
    <w:rsid w:val="003614FD"/>
    <w:rsid w:val="003673B4"/>
    <w:rsid w:val="003A2448"/>
    <w:rsid w:val="003A5294"/>
    <w:rsid w:val="003A6B40"/>
    <w:rsid w:val="003B6B43"/>
    <w:rsid w:val="003E39D6"/>
    <w:rsid w:val="00430A6D"/>
    <w:rsid w:val="004373DE"/>
    <w:rsid w:val="00450B34"/>
    <w:rsid w:val="00452B1B"/>
    <w:rsid w:val="00460E17"/>
    <w:rsid w:val="004700C3"/>
    <w:rsid w:val="00470B0F"/>
    <w:rsid w:val="004723D9"/>
    <w:rsid w:val="004B32AF"/>
    <w:rsid w:val="004F72B7"/>
    <w:rsid w:val="005219FF"/>
    <w:rsid w:val="005278C0"/>
    <w:rsid w:val="00532EC1"/>
    <w:rsid w:val="00552AF7"/>
    <w:rsid w:val="0057203E"/>
    <w:rsid w:val="00580B23"/>
    <w:rsid w:val="005A79BA"/>
    <w:rsid w:val="005B035E"/>
    <w:rsid w:val="005C1621"/>
    <w:rsid w:val="0060432C"/>
    <w:rsid w:val="006118EE"/>
    <w:rsid w:val="006225BA"/>
    <w:rsid w:val="00625B24"/>
    <w:rsid w:val="006676D0"/>
    <w:rsid w:val="006C6944"/>
    <w:rsid w:val="006C7F31"/>
    <w:rsid w:val="006E786A"/>
    <w:rsid w:val="00703270"/>
    <w:rsid w:val="007061ED"/>
    <w:rsid w:val="00727338"/>
    <w:rsid w:val="00741ED3"/>
    <w:rsid w:val="007502BB"/>
    <w:rsid w:val="00763A7C"/>
    <w:rsid w:val="00764006"/>
    <w:rsid w:val="0079683C"/>
    <w:rsid w:val="007B5207"/>
    <w:rsid w:val="007D0E42"/>
    <w:rsid w:val="007E33BD"/>
    <w:rsid w:val="007F47DB"/>
    <w:rsid w:val="00832DDA"/>
    <w:rsid w:val="008439CD"/>
    <w:rsid w:val="0085641A"/>
    <w:rsid w:val="00865F37"/>
    <w:rsid w:val="00867A33"/>
    <w:rsid w:val="00874EED"/>
    <w:rsid w:val="00880D92"/>
    <w:rsid w:val="008B78B0"/>
    <w:rsid w:val="008C2085"/>
    <w:rsid w:val="008C62E5"/>
    <w:rsid w:val="008E1BFC"/>
    <w:rsid w:val="00900F4D"/>
    <w:rsid w:val="00911110"/>
    <w:rsid w:val="009357D3"/>
    <w:rsid w:val="00953D37"/>
    <w:rsid w:val="00965826"/>
    <w:rsid w:val="00983B50"/>
    <w:rsid w:val="009860EB"/>
    <w:rsid w:val="0099409F"/>
    <w:rsid w:val="009D14C2"/>
    <w:rsid w:val="00A0209D"/>
    <w:rsid w:val="00A06152"/>
    <w:rsid w:val="00A06F83"/>
    <w:rsid w:val="00A10D9F"/>
    <w:rsid w:val="00A25CF4"/>
    <w:rsid w:val="00A30303"/>
    <w:rsid w:val="00A32A28"/>
    <w:rsid w:val="00A52A37"/>
    <w:rsid w:val="00A56343"/>
    <w:rsid w:val="00A56F02"/>
    <w:rsid w:val="00A65137"/>
    <w:rsid w:val="00A750FB"/>
    <w:rsid w:val="00A87D2B"/>
    <w:rsid w:val="00AC2F90"/>
    <w:rsid w:val="00AD32F6"/>
    <w:rsid w:val="00AD3796"/>
    <w:rsid w:val="00B03B65"/>
    <w:rsid w:val="00B422A2"/>
    <w:rsid w:val="00B45367"/>
    <w:rsid w:val="00B5187D"/>
    <w:rsid w:val="00B5267B"/>
    <w:rsid w:val="00B56A9C"/>
    <w:rsid w:val="00B57085"/>
    <w:rsid w:val="00B57511"/>
    <w:rsid w:val="00B80C77"/>
    <w:rsid w:val="00B81268"/>
    <w:rsid w:val="00BD5A2A"/>
    <w:rsid w:val="00BE368B"/>
    <w:rsid w:val="00BF05C4"/>
    <w:rsid w:val="00C00CC7"/>
    <w:rsid w:val="00C15D91"/>
    <w:rsid w:val="00C4134D"/>
    <w:rsid w:val="00CA034C"/>
    <w:rsid w:val="00CC55C1"/>
    <w:rsid w:val="00D03E62"/>
    <w:rsid w:val="00D224C4"/>
    <w:rsid w:val="00D32A12"/>
    <w:rsid w:val="00D33DBF"/>
    <w:rsid w:val="00D43539"/>
    <w:rsid w:val="00D460CE"/>
    <w:rsid w:val="00D619B3"/>
    <w:rsid w:val="00D85FE4"/>
    <w:rsid w:val="00D90DAC"/>
    <w:rsid w:val="00DA5B1B"/>
    <w:rsid w:val="00DD2CB5"/>
    <w:rsid w:val="00DD417D"/>
    <w:rsid w:val="00DF6B46"/>
    <w:rsid w:val="00E131CE"/>
    <w:rsid w:val="00E21CBA"/>
    <w:rsid w:val="00E21D57"/>
    <w:rsid w:val="00E264FE"/>
    <w:rsid w:val="00E465CD"/>
    <w:rsid w:val="00E5322C"/>
    <w:rsid w:val="00E55CEF"/>
    <w:rsid w:val="00EA06E0"/>
    <w:rsid w:val="00EA50A1"/>
    <w:rsid w:val="00ED3142"/>
    <w:rsid w:val="00EE4F38"/>
    <w:rsid w:val="00F32453"/>
    <w:rsid w:val="00F6247B"/>
    <w:rsid w:val="00F81907"/>
    <w:rsid w:val="00F940DD"/>
    <w:rsid w:val="00FA5EB3"/>
    <w:rsid w:val="00FE00F8"/>
    <w:rsid w:val="00FE2E8B"/>
    <w:rsid w:val="00FE44DF"/>
    <w:rsid w:val="00FE4A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lang w:val="de-AT" w:eastAsia="de-DE"/>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lang w:val="de-AT" w:eastAsia="de-DE"/>
    </w:rPr>
  </w:style>
  <w:style w:type="paragraph" w:styleId="StandardWeb">
    <w:name w:val="Normal (Web)"/>
    <w:basedOn w:val="Standard"/>
    <w:uiPriority w:val="99"/>
    <w:unhideWhenUsed/>
    <w:rsid w:val="003403CD"/>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lang w:val="de-AT" w:eastAsia="de-DE"/>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lang w:val="de-AT" w:eastAsia="de-DE"/>
    </w:rPr>
  </w:style>
  <w:style w:type="paragraph" w:styleId="StandardWeb">
    <w:name w:val="Normal (Web)"/>
    <w:basedOn w:val="Standard"/>
    <w:uiPriority w:val="99"/>
    <w:unhideWhenUsed/>
    <w:rsid w:val="003403CD"/>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4818">
      <w:bodyDiv w:val="1"/>
      <w:marLeft w:val="0"/>
      <w:marRight w:val="0"/>
      <w:marTop w:val="0"/>
      <w:marBottom w:val="0"/>
      <w:divBdr>
        <w:top w:val="none" w:sz="0" w:space="0" w:color="auto"/>
        <w:left w:val="none" w:sz="0" w:space="0" w:color="auto"/>
        <w:bottom w:val="none" w:sz="0" w:space="0" w:color="auto"/>
        <w:right w:val="none" w:sz="0" w:space="0" w:color="auto"/>
      </w:divBdr>
    </w:div>
    <w:div w:id="555971913">
      <w:bodyDiv w:val="1"/>
      <w:marLeft w:val="0"/>
      <w:marRight w:val="0"/>
      <w:marTop w:val="0"/>
      <w:marBottom w:val="0"/>
      <w:divBdr>
        <w:top w:val="none" w:sz="0" w:space="0" w:color="auto"/>
        <w:left w:val="none" w:sz="0" w:space="0" w:color="auto"/>
        <w:bottom w:val="none" w:sz="0" w:space="0" w:color="auto"/>
        <w:right w:val="none" w:sz="0" w:space="0" w:color="auto"/>
      </w:divBdr>
    </w:div>
    <w:div w:id="625351347">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5338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gw-group.com/Wuerth-Best-Pract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e-online.de/web/de/electronic_components/kontakte_pbs/Contacts_WE_Gruppe.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talog.we-online.de/de/" TargetMode="External"/><Relationship Id="rId5" Type="http://schemas.openxmlformats.org/officeDocument/2006/relationships/settings" Target="settings.xml"/><Relationship Id="rId15" Type="http://schemas.openxmlformats.org/officeDocument/2006/relationships/hyperlink" Target="mailto:daniela.nowak@tgw-group.com" TargetMode="External"/><Relationship Id="rId10" Type="http://schemas.openxmlformats.org/officeDocument/2006/relationships/hyperlink" Target="https://www.we-online.de/web/de/electronic_components/willkommen_pbs/Welcome.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we-online.de/web/de/electronic_components/willkommen_pbs/Welcome.php" TargetMode="External"/><Relationship Id="rId14"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3175-9C8B-4DB6-BA18-1F9D2372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4703</Characters>
  <Application>Microsoft Office Word</Application>
  <DocSecurity>4</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2015-06-02T08:02:00Z</cp:lastPrinted>
  <dcterms:created xsi:type="dcterms:W3CDTF">2017-03-21T13:30:00Z</dcterms:created>
  <dcterms:modified xsi:type="dcterms:W3CDTF">2017-03-21T13:30:00Z</dcterms:modified>
</cp:coreProperties>
</file>