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6EA7F" w14:textId="1BB42C9C" w:rsidR="0073741E" w:rsidRPr="002D5361" w:rsidRDefault="002E1648" w:rsidP="00F93243">
      <w:pPr>
        <w:spacing w:line="360" w:lineRule="auto"/>
        <w:ind w:left="0" w:right="1693"/>
        <w:jc w:val="left"/>
        <w:rPr>
          <w:rFonts w:cs="Arial"/>
          <w:b/>
          <w:sz w:val="28"/>
          <w:szCs w:val="28"/>
        </w:rPr>
      </w:pPr>
      <w:r>
        <w:rPr>
          <w:rFonts w:cs="Arial"/>
          <w:b/>
          <w:sz w:val="28"/>
          <w:szCs w:val="28"/>
        </w:rPr>
        <w:t xml:space="preserve">FullPick: TGW presenta una solución </w:t>
      </w:r>
      <w:proofErr w:type="spellStart"/>
      <w:r>
        <w:rPr>
          <w:rFonts w:cs="Arial"/>
          <w:b/>
          <w:sz w:val="28"/>
          <w:szCs w:val="28"/>
        </w:rPr>
        <w:t>eficiente</w:t>
      </w:r>
      <w:proofErr w:type="spellEnd"/>
      <w:r>
        <w:rPr>
          <w:rFonts w:cs="Arial"/>
          <w:b/>
          <w:sz w:val="28"/>
          <w:szCs w:val="28"/>
        </w:rPr>
        <w:t xml:space="preserve"> </w:t>
      </w:r>
      <w:proofErr w:type="spellStart"/>
      <w:r>
        <w:rPr>
          <w:rFonts w:cs="Arial"/>
          <w:b/>
          <w:sz w:val="28"/>
          <w:szCs w:val="28"/>
        </w:rPr>
        <w:t>para</w:t>
      </w:r>
      <w:proofErr w:type="spellEnd"/>
      <w:r>
        <w:rPr>
          <w:rFonts w:cs="Arial"/>
          <w:b/>
          <w:sz w:val="28"/>
          <w:szCs w:val="28"/>
        </w:rPr>
        <w:t xml:space="preserve"> </w:t>
      </w:r>
      <w:r w:rsidR="00BE6D0C">
        <w:rPr>
          <w:rFonts w:cs="Arial"/>
          <w:b/>
          <w:sz w:val="28"/>
          <w:szCs w:val="28"/>
        </w:rPr>
        <w:t xml:space="preserve">el </w:t>
      </w:r>
      <w:r>
        <w:rPr>
          <w:rFonts w:cs="Arial"/>
          <w:b/>
          <w:sz w:val="28"/>
          <w:szCs w:val="28"/>
        </w:rPr>
        <w:t xml:space="preserve">picking totalmente </w:t>
      </w:r>
      <w:proofErr w:type="spellStart"/>
      <w:r>
        <w:rPr>
          <w:rFonts w:cs="Arial"/>
          <w:b/>
          <w:sz w:val="28"/>
          <w:szCs w:val="28"/>
        </w:rPr>
        <w:t>automatizado</w:t>
      </w:r>
      <w:proofErr w:type="spellEnd"/>
      <w:r>
        <w:rPr>
          <w:rFonts w:cs="Arial"/>
          <w:b/>
          <w:sz w:val="28"/>
          <w:szCs w:val="28"/>
        </w:rPr>
        <w:t xml:space="preserve"> de palets mixtos</w:t>
      </w:r>
    </w:p>
    <w:p w14:paraId="4F6EAF00" w14:textId="77777777" w:rsidR="00315732" w:rsidRPr="002D5361" w:rsidRDefault="00315732" w:rsidP="00F93243">
      <w:pPr>
        <w:spacing w:line="360" w:lineRule="auto"/>
        <w:ind w:left="0" w:right="1693"/>
        <w:jc w:val="left"/>
        <w:rPr>
          <w:rFonts w:cs="Arial"/>
          <w:b/>
          <w:sz w:val="24"/>
          <w:szCs w:val="24"/>
        </w:rPr>
      </w:pPr>
    </w:p>
    <w:p w14:paraId="643C7AEC" w14:textId="1F579928" w:rsidR="00222AA7" w:rsidRDefault="00C53F41" w:rsidP="00F93243">
      <w:pPr>
        <w:pStyle w:val="Listenabsatz"/>
        <w:numPr>
          <w:ilvl w:val="0"/>
          <w:numId w:val="21"/>
        </w:numPr>
        <w:spacing w:line="360" w:lineRule="auto"/>
        <w:ind w:right="1693"/>
        <w:jc w:val="left"/>
        <w:rPr>
          <w:rFonts w:cs="Arial"/>
          <w:b/>
          <w:sz w:val="24"/>
          <w:szCs w:val="24"/>
        </w:rPr>
      </w:pPr>
      <w:r>
        <w:rPr>
          <w:rFonts w:cs="Arial"/>
          <w:b/>
          <w:sz w:val="24"/>
          <w:szCs w:val="24"/>
        </w:rPr>
        <w:t>E</w:t>
      </w:r>
      <w:r w:rsidR="00AE2646">
        <w:rPr>
          <w:rFonts w:cs="Arial"/>
          <w:b/>
          <w:sz w:val="24"/>
          <w:szCs w:val="24"/>
        </w:rPr>
        <w:t xml:space="preserve">l </w:t>
      </w:r>
      <w:proofErr w:type="spellStart"/>
      <w:r w:rsidR="00AE2646">
        <w:rPr>
          <w:rFonts w:cs="Arial"/>
          <w:b/>
          <w:sz w:val="24"/>
          <w:szCs w:val="24"/>
        </w:rPr>
        <w:t>avanzado</w:t>
      </w:r>
      <w:proofErr w:type="spellEnd"/>
      <w:r w:rsidR="00AE2646">
        <w:rPr>
          <w:rFonts w:cs="Arial"/>
          <w:b/>
          <w:sz w:val="24"/>
          <w:szCs w:val="24"/>
        </w:rPr>
        <w:t xml:space="preserve"> </w:t>
      </w:r>
      <w:proofErr w:type="spellStart"/>
      <w:r w:rsidR="00AE2646">
        <w:rPr>
          <w:rFonts w:cs="Arial"/>
          <w:b/>
          <w:sz w:val="24"/>
          <w:szCs w:val="24"/>
        </w:rPr>
        <w:t>sistema</w:t>
      </w:r>
      <w:proofErr w:type="spellEnd"/>
      <w:r w:rsidR="00AE2646">
        <w:rPr>
          <w:rFonts w:cs="Arial"/>
          <w:b/>
          <w:sz w:val="24"/>
          <w:szCs w:val="24"/>
        </w:rPr>
        <w:t xml:space="preserve"> </w:t>
      </w:r>
      <w:proofErr w:type="spellStart"/>
      <w:r w:rsidR="00AE2646">
        <w:rPr>
          <w:rFonts w:cs="Arial"/>
          <w:b/>
          <w:sz w:val="24"/>
          <w:szCs w:val="24"/>
        </w:rPr>
        <w:t>para</w:t>
      </w:r>
      <w:proofErr w:type="spellEnd"/>
      <w:r w:rsidR="00AE2646">
        <w:rPr>
          <w:rFonts w:cs="Arial"/>
          <w:b/>
          <w:sz w:val="24"/>
          <w:szCs w:val="24"/>
        </w:rPr>
        <w:t xml:space="preserve"> el </w:t>
      </w:r>
      <w:proofErr w:type="spellStart"/>
      <w:r w:rsidR="00AE2646">
        <w:rPr>
          <w:rFonts w:cs="Arial"/>
          <w:b/>
          <w:sz w:val="24"/>
          <w:szCs w:val="24"/>
        </w:rPr>
        <w:t>comercio</w:t>
      </w:r>
      <w:proofErr w:type="spellEnd"/>
      <w:r w:rsidR="00AE2646">
        <w:rPr>
          <w:rFonts w:cs="Arial"/>
          <w:b/>
          <w:sz w:val="24"/>
          <w:szCs w:val="24"/>
        </w:rPr>
        <w:t xml:space="preserve"> de </w:t>
      </w:r>
      <w:proofErr w:type="spellStart"/>
      <w:r w:rsidR="00AE2646">
        <w:rPr>
          <w:rFonts w:cs="Arial"/>
          <w:b/>
          <w:sz w:val="24"/>
          <w:szCs w:val="24"/>
        </w:rPr>
        <w:t>alimentos</w:t>
      </w:r>
      <w:proofErr w:type="spellEnd"/>
      <w:r>
        <w:rPr>
          <w:rFonts w:cs="Arial"/>
          <w:b/>
          <w:sz w:val="24"/>
          <w:szCs w:val="24"/>
        </w:rPr>
        <w:t xml:space="preserve">  </w:t>
      </w:r>
      <w:r w:rsidR="005A712E">
        <w:rPr>
          <w:rFonts w:cs="Arial"/>
          <w:b/>
          <w:sz w:val="24"/>
          <w:szCs w:val="24"/>
        </w:rPr>
        <w:br/>
      </w:r>
      <w:proofErr w:type="spellStart"/>
      <w:r w:rsidR="00AE2646">
        <w:rPr>
          <w:rFonts w:cs="Arial"/>
          <w:b/>
          <w:sz w:val="24"/>
          <w:szCs w:val="24"/>
        </w:rPr>
        <w:t>cubre</w:t>
      </w:r>
      <w:proofErr w:type="spellEnd"/>
      <w:r w:rsidR="00AE2646">
        <w:rPr>
          <w:rFonts w:cs="Arial"/>
          <w:b/>
          <w:sz w:val="24"/>
          <w:szCs w:val="24"/>
        </w:rPr>
        <w:t xml:space="preserve"> </w:t>
      </w:r>
      <w:proofErr w:type="spellStart"/>
      <w:r w:rsidR="00AE2646">
        <w:rPr>
          <w:rFonts w:cs="Arial"/>
          <w:b/>
          <w:sz w:val="24"/>
          <w:szCs w:val="24"/>
        </w:rPr>
        <w:t>también</w:t>
      </w:r>
      <w:proofErr w:type="spellEnd"/>
      <w:r w:rsidR="00AE2646">
        <w:rPr>
          <w:rFonts w:cs="Arial"/>
          <w:b/>
          <w:sz w:val="24"/>
          <w:szCs w:val="24"/>
        </w:rPr>
        <w:t xml:space="preserve"> e</w:t>
      </w:r>
      <w:bookmarkStart w:id="0" w:name="_GoBack"/>
      <w:bookmarkEnd w:id="0"/>
      <w:r w:rsidR="00AE2646">
        <w:rPr>
          <w:rFonts w:cs="Arial"/>
          <w:b/>
          <w:sz w:val="24"/>
          <w:szCs w:val="24"/>
        </w:rPr>
        <w:t>l picking de unidades individuales</w:t>
      </w:r>
    </w:p>
    <w:p w14:paraId="7F44AD76" w14:textId="45EBA75E" w:rsidR="00060901" w:rsidRDefault="00AA1407" w:rsidP="00F93243">
      <w:pPr>
        <w:pStyle w:val="Listenabsatz"/>
        <w:numPr>
          <w:ilvl w:val="0"/>
          <w:numId w:val="21"/>
        </w:numPr>
        <w:spacing w:line="360" w:lineRule="auto"/>
        <w:ind w:right="1693"/>
        <w:jc w:val="left"/>
        <w:rPr>
          <w:rFonts w:cs="Arial"/>
          <w:b/>
          <w:sz w:val="24"/>
          <w:szCs w:val="24"/>
        </w:rPr>
      </w:pPr>
      <w:r>
        <w:rPr>
          <w:rFonts w:cs="Arial"/>
          <w:b/>
          <w:sz w:val="24"/>
          <w:szCs w:val="24"/>
        </w:rPr>
        <w:t>Enfoque modular basado en los muchos años</w:t>
      </w:r>
      <w:r>
        <w:rPr>
          <w:rFonts w:cs="Arial"/>
          <w:b/>
          <w:sz w:val="24"/>
          <w:szCs w:val="24"/>
        </w:rPr>
        <w:br/>
        <w:t xml:space="preserve">de experiencia </w:t>
      </w:r>
      <w:r w:rsidR="00BE6D0C">
        <w:rPr>
          <w:rFonts w:cs="Arial"/>
          <w:b/>
          <w:sz w:val="24"/>
          <w:szCs w:val="24"/>
        </w:rPr>
        <w:t xml:space="preserve">de TGW </w:t>
      </w:r>
      <w:r>
        <w:rPr>
          <w:rFonts w:cs="Arial"/>
          <w:b/>
          <w:sz w:val="24"/>
          <w:szCs w:val="24"/>
        </w:rPr>
        <w:t xml:space="preserve">en la industria </w:t>
      </w:r>
    </w:p>
    <w:p w14:paraId="08BF8021" w14:textId="58033B37" w:rsidR="00AE2646" w:rsidRDefault="00AE2646" w:rsidP="00F93243">
      <w:pPr>
        <w:pStyle w:val="Listenabsatz"/>
        <w:numPr>
          <w:ilvl w:val="0"/>
          <w:numId w:val="21"/>
        </w:numPr>
        <w:spacing w:line="360" w:lineRule="auto"/>
        <w:ind w:right="1693"/>
        <w:jc w:val="left"/>
        <w:rPr>
          <w:rFonts w:cs="Arial"/>
          <w:b/>
          <w:sz w:val="24"/>
          <w:szCs w:val="24"/>
        </w:rPr>
      </w:pPr>
      <w:r>
        <w:rPr>
          <w:rFonts w:cs="Arial"/>
          <w:b/>
          <w:sz w:val="24"/>
          <w:szCs w:val="24"/>
        </w:rPr>
        <w:t>Esta innovación concede flexibilidad a los clientes y aumenta su eficiencia de forma sostenible</w:t>
      </w:r>
    </w:p>
    <w:p w14:paraId="1D5E5AFE" w14:textId="446758C9" w:rsidR="004A203A" w:rsidRDefault="004A203A" w:rsidP="00F93243">
      <w:pPr>
        <w:pStyle w:val="Listenabsatz"/>
        <w:numPr>
          <w:ilvl w:val="0"/>
          <w:numId w:val="21"/>
        </w:numPr>
        <w:spacing w:line="360" w:lineRule="auto"/>
        <w:ind w:right="1693"/>
        <w:jc w:val="left"/>
        <w:rPr>
          <w:rFonts w:cs="Arial"/>
          <w:b/>
          <w:sz w:val="24"/>
          <w:szCs w:val="24"/>
        </w:rPr>
      </w:pPr>
      <w:r>
        <w:rPr>
          <w:rFonts w:cs="Arial"/>
          <w:b/>
          <w:sz w:val="24"/>
          <w:szCs w:val="24"/>
        </w:rPr>
        <w:t xml:space="preserve">FullPick puede utilizarse en todas las áreas de temperatura: </w:t>
      </w:r>
      <w:r>
        <w:rPr>
          <w:rFonts w:cs="Arial"/>
          <w:b/>
          <w:sz w:val="24"/>
          <w:szCs w:val="24"/>
        </w:rPr>
        <w:br/>
        <w:t>desde el área de temperatura normal hasta la de refrigerados y congelados</w:t>
      </w:r>
    </w:p>
    <w:p w14:paraId="35A339FF" w14:textId="77777777" w:rsidR="00E26207" w:rsidRDefault="00E26207" w:rsidP="00B34DB2">
      <w:pPr>
        <w:spacing w:line="360" w:lineRule="auto"/>
        <w:ind w:left="0" w:right="1693"/>
        <w:rPr>
          <w:rFonts w:cs="Arial"/>
          <w:b/>
          <w:sz w:val="24"/>
          <w:szCs w:val="24"/>
        </w:rPr>
      </w:pPr>
    </w:p>
    <w:p w14:paraId="51F4B477" w14:textId="1ADAF49A" w:rsidR="00B7544D" w:rsidRDefault="00EF32D1" w:rsidP="008B7BC1">
      <w:pPr>
        <w:spacing w:line="360" w:lineRule="auto"/>
        <w:ind w:left="0" w:right="1693"/>
        <w:rPr>
          <w:rFonts w:cs="Arial"/>
          <w:b/>
          <w:szCs w:val="20"/>
        </w:rPr>
      </w:pPr>
      <w:r>
        <w:rPr>
          <w:rFonts w:cs="Arial"/>
          <w:b/>
          <w:szCs w:val="20"/>
        </w:rPr>
        <w:t xml:space="preserve">(Marchtrenk, 28 de abril de 2023) TGW ha desarrollado un innovador sistema que permite a productores y minoristas de alimentos, así como a especialistas en servicios de alimentos adaptarse con flexibilidad a los retos del futuro: con FullPick, se pueden cargar de forma totalmente </w:t>
      </w:r>
      <w:proofErr w:type="spellStart"/>
      <w:r>
        <w:rPr>
          <w:rFonts w:cs="Arial"/>
          <w:b/>
          <w:szCs w:val="20"/>
        </w:rPr>
        <w:t>automática</w:t>
      </w:r>
      <w:proofErr w:type="spellEnd"/>
      <w:r>
        <w:rPr>
          <w:rFonts w:cs="Arial"/>
          <w:b/>
          <w:szCs w:val="20"/>
        </w:rPr>
        <w:t xml:space="preserve"> y </w:t>
      </w:r>
      <w:proofErr w:type="spellStart"/>
      <w:r>
        <w:rPr>
          <w:rFonts w:cs="Arial"/>
          <w:b/>
          <w:szCs w:val="20"/>
        </w:rPr>
        <w:t>optimizada</w:t>
      </w:r>
      <w:proofErr w:type="spellEnd"/>
      <w:r>
        <w:rPr>
          <w:rFonts w:cs="Arial"/>
          <w:b/>
          <w:szCs w:val="20"/>
        </w:rPr>
        <w:t xml:space="preserve"> </w:t>
      </w:r>
      <w:proofErr w:type="spellStart"/>
      <w:r>
        <w:rPr>
          <w:rFonts w:cs="Arial"/>
          <w:b/>
          <w:szCs w:val="20"/>
        </w:rPr>
        <w:t>para</w:t>
      </w:r>
      <w:proofErr w:type="spellEnd"/>
      <w:r>
        <w:rPr>
          <w:rFonts w:cs="Arial"/>
          <w:b/>
          <w:szCs w:val="20"/>
        </w:rPr>
        <w:t xml:space="preserve"> el </w:t>
      </w:r>
      <w:proofErr w:type="spellStart"/>
      <w:r>
        <w:rPr>
          <w:rFonts w:cs="Arial"/>
          <w:b/>
          <w:szCs w:val="20"/>
        </w:rPr>
        <w:t>cliente</w:t>
      </w:r>
      <w:proofErr w:type="spellEnd"/>
      <w:r>
        <w:rPr>
          <w:rFonts w:cs="Arial"/>
          <w:b/>
          <w:szCs w:val="20"/>
        </w:rPr>
        <w:t xml:space="preserve"> tanto palets como roll containers.</w:t>
      </w:r>
    </w:p>
    <w:p w14:paraId="33BC285A" w14:textId="77777777" w:rsidR="005939BF" w:rsidRPr="005E5FE4" w:rsidRDefault="005939BF" w:rsidP="00E21B14">
      <w:pPr>
        <w:spacing w:line="360" w:lineRule="auto"/>
        <w:ind w:left="0" w:right="1693"/>
        <w:rPr>
          <w:rFonts w:cs="Arial"/>
          <w:b/>
          <w:szCs w:val="20"/>
        </w:rPr>
      </w:pPr>
    </w:p>
    <w:p w14:paraId="7C515980" w14:textId="35AB3295" w:rsidR="005C6933" w:rsidRDefault="00C91EE3" w:rsidP="004C4ACF">
      <w:pPr>
        <w:spacing w:line="360" w:lineRule="auto"/>
        <w:ind w:left="0" w:right="1693"/>
        <w:rPr>
          <w:rFonts w:cs="Arial"/>
          <w:bCs/>
          <w:szCs w:val="20"/>
        </w:rPr>
      </w:pPr>
      <w:r>
        <w:rPr>
          <w:rFonts w:cs="Arial"/>
          <w:bCs/>
          <w:szCs w:val="20"/>
        </w:rPr>
        <w:t>La solución modular para el picking de palets mixtos (paletización de pedidos multirreferencia) se basa en las décadas de experiencia de TGW, incluso en el área de productos refrigerados y ultracongelados. Los expertos de la empresa especialista en intralogística han analizado y optimizado todo el proceso, desde la recepción de mercancías hasta la secuenciación y la preparación de pedidos totalmente automatizada. Las experiencias de ejemplos de Best Practice, entre otros, la de COOP en Suiza, han influido en la creación de estos módulos estandarizados.</w:t>
      </w:r>
    </w:p>
    <w:p w14:paraId="17D606D6" w14:textId="2F6D7C83" w:rsidR="005C6933" w:rsidRDefault="005C6933" w:rsidP="004C4ACF">
      <w:pPr>
        <w:spacing w:line="360" w:lineRule="auto"/>
        <w:ind w:left="0" w:right="1693"/>
        <w:rPr>
          <w:rFonts w:cs="Arial"/>
          <w:bCs/>
          <w:szCs w:val="20"/>
        </w:rPr>
      </w:pPr>
    </w:p>
    <w:p w14:paraId="164E833C" w14:textId="051E0E1E" w:rsidR="005C6933" w:rsidRPr="005C6933" w:rsidRDefault="00716AD4" w:rsidP="004C4ACF">
      <w:pPr>
        <w:spacing w:line="360" w:lineRule="auto"/>
        <w:ind w:left="0" w:right="1693"/>
        <w:rPr>
          <w:rFonts w:cs="Arial"/>
          <w:b/>
          <w:bCs/>
          <w:szCs w:val="20"/>
        </w:rPr>
      </w:pPr>
      <w:r>
        <w:rPr>
          <w:rFonts w:cs="Arial"/>
          <w:b/>
          <w:bCs/>
          <w:szCs w:val="20"/>
        </w:rPr>
        <w:t>Carga automática de palets y roll containers</w:t>
      </w:r>
    </w:p>
    <w:p w14:paraId="0503D18B" w14:textId="77777777" w:rsidR="005C6933" w:rsidRDefault="005C6933" w:rsidP="004C4ACF">
      <w:pPr>
        <w:spacing w:line="360" w:lineRule="auto"/>
        <w:ind w:left="0" w:right="1693"/>
        <w:rPr>
          <w:rFonts w:cs="Arial"/>
          <w:bCs/>
          <w:szCs w:val="20"/>
        </w:rPr>
      </w:pPr>
    </w:p>
    <w:p w14:paraId="4128BCBD" w14:textId="379D1F02" w:rsidR="005C6933" w:rsidRDefault="00933F0C" w:rsidP="004C4ACF">
      <w:pPr>
        <w:spacing w:line="360" w:lineRule="auto"/>
        <w:ind w:left="0" w:right="1693"/>
        <w:rPr>
          <w:rFonts w:cs="Arial"/>
          <w:bCs/>
          <w:szCs w:val="20"/>
        </w:rPr>
      </w:pPr>
      <w:r>
        <w:rPr>
          <w:rFonts w:cs="Arial"/>
          <w:bCs/>
          <w:szCs w:val="20"/>
        </w:rPr>
        <w:t>TGW ofrece a sus clientes todos los elementos del servicio como proveedor único, desde la mecatrónica hasta el software. Son muchos los años de experiencia práctica que se han invertido en la nueva generación del robot paletizador AutoStax. AutoStax se puede utilizar para el suministro a tiendas tanto con palets como con roll containers. FullPick incluye también un módulo opcional totalmente integrado para el picking de unidades individuales. La gran ventaja: al contrario de lo que sucede con los sistema</w:t>
      </w:r>
      <w:r w:rsidR="00911502">
        <w:rPr>
          <w:rFonts w:cs="Arial"/>
          <w:bCs/>
          <w:szCs w:val="20"/>
        </w:rPr>
        <w:t>s</w:t>
      </w:r>
      <w:r>
        <w:rPr>
          <w:rFonts w:cs="Arial"/>
          <w:bCs/>
          <w:szCs w:val="20"/>
        </w:rPr>
        <w:t xml:space="preserve"> convencionales, este proceso no requiere ningún módulo separado.</w:t>
      </w:r>
    </w:p>
    <w:p w14:paraId="3D8E2BCF" w14:textId="77777777" w:rsidR="002B6E37" w:rsidRDefault="002B6E37" w:rsidP="004C4ACF">
      <w:pPr>
        <w:spacing w:line="360" w:lineRule="auto"/>
        <w:ind w:left="0" w:right="1693"/>
        <w:rPr>
          <w:rFonts w:cs="Arial"/>
          <w:bCs/>
          <w:szCs w:val="20"/>
        </w:rPr>
      </w:pPr>
    </w:p>
    <w:p w14:paraId="66EF39A7" w14:textId="3EC69C83" w:rsidR="005C6933" w:rsidRPr="005C6933" w:rsidRDefault="007C23BC" w:rsidP="004C4ACF">
      <w:pPr>
        <w:spacing w:line="360" w:lineRule="auto"/>
        <w:ind w:left="0" w:right="1693"/>
        <w:rPr>
          <w:rFonts w:cs="Arial"/>
          <w:b/>
          <w:bCs/>
          <w:szCs w:val="20"/>
        </w:rPr>
      </w:pPr>
      <w:r>
        <w:rPr>
          <w:rFonts w:cs="Arial"/>
          <w:b/>
          <w:bCs/>
          <w:szCs w:val="20"/>
        </w:rPr>
        <w:t>Flexibilidad ante cambios en la estructura de la tienda</w:t>
      </w:r>
    </w:p>
    <w:p w14:paraId="66C041C3" w14:textId="77777777" w:rsidR="005C6933" w:rsidRDefault="005C6933" w:rsidP="004C4ACF">
      <w:pPr>
        <w:spacing w:line="360" w:lineRule="auto"/>
        <w:ind w:left="0" w:right="1693"/>
        <w:rPr>
          <w:rFonts w:cs="Arial"/>
          <w:bCs/>
          <w:szCs w:val="20"/>
        </w:rPr>
      </w:pPr>
    </w:p>
    <w:p w14:paraId="003EA48B" w14:textId="3AA2E700" w:rsidR="00EF36C4" w:rsidRDefault="008116B7" w:rsidP="004C4ACF">
      <w:pPr>
        <w:spacing w:line="360" w:lineRule="auto"/>
        <w:ind w:left="0" w:right="1693"/>
        <w:rPr>
          <w:rFonts w:cs="Arial"/>
          <w:bCs/>
          <w:szCs w:val="20"/>
        </w:rPr>
      </w:pPr>
      <w:r>
        <w:rPr>
          <w:rFonts w:cs="Arial"/>
          <w:bCs/>
          <w:szCs w:val="20"/>
        </w:rPr>
        <w:t>La preparación de pedidos para productos individuales desempeña un papel cada vez más importante, pues los supermercados dependen cada vez más de tiendas en ciudades pequeñas a las que se suministran productos individuales en lugar de embalajes comerciales. Por otro lado, es importante seguir abasteciendo con palets a las tiendas "clásicas". “Con FullPick, los clientes tienen flexibilidad ante los cambios en la estructura de las tiendas y mejoran su capacidad para resistir los desafíos del futuro. Puesto que el lema de Heráclito 'Nada permanece excepto el cambio' se aplica también en la industria alimentaria y el comercio minorista, la principal pregunta ya no es si debe recurrirse a la automatización, sino cuándo", dice Michael Schedlbauer, vicepresidente de Business Development Grocery en TGW.</w:t>
      </w:r>
    </w:p>
    <w:p w14:paraId="7E3B0B2F" w14:textId="77777777" w:rsidR="00EF36C4" w:rsidRDefault="00EF36C4" w:rsidP="004C4ACF">
      <w:pPr>
        <w:spacing w:line="360" w:lineRule="auto"/>
        <w:ind w:left="0" w:right="1693"/>
        <w:rPr>
          <w:rFonts w:cs="Arial"/>
          <w:bCs/>
          <w:szCs w:val="20"/>
        </w:rPr>
      </w:pPr>
    </w:p>
    <w:p w14:paraId="3A290E1A" w14:textId="0CE2287F" w:rsidR="00EA1F1A" w:rsidRDefault="00CD6772" w:rsidP="004C4ACF">
      <w:pPr>
        <w:spacing w:line="360" w:lineRule="auto"/>
        <w:ind w:left="0" w:right="1693"/>
        <w:rPr>
          <w:rFonts w:cs="Arial"/>
          <w:bCs/>
          <w:szCs w:val="20"/>
        </w:rPr>
      </w:pPr>
      <w:r>
        <w:rPr>
          <w:rFonts w:cs="Arial"/>
          <w:bCs/>
          <w:szCs w:val="20"/>
        </w:rPr>
        <w:t xml:space="preserve">Según los expertos de TGW, la volatilidad de las cadenas de suministro, la escasez de mano de obra, el aumento de la exigencia de las normas de ergonomía y la disponibilidad de espacio son los principales impulsores de la automatización. "Especialmente en las áreas de refrigerados y ultracongelados, el aumento de los precios de la energía es un criterio cada vez más importante. Cuanto menor sea el volumen que debe enfriarse gracias a una automatización compacta, menores serán los costes operativos”, explica Schedlbauer. </w:t>
      </w:r>
    </w:p>
    <w:p w14:paraId="01851179" w14:textId="4DFE3117" w:rsidR="005C6933" w:rsidRDefault="005C6933" w:rsidP="004C4ACF">
      <w:pPr>
        <w:spacing w:line="360" w:lineRule="auto"/>
        <w:ind w:left="0" w:right="1693"/>
        <w:rPr>
          <w:rFonts w:cs="Arial"/>
          <w:bCs/>
          <w:szCs w:val="20"/>
        </w:rPr>
      </w:pPr>
    </w:p>
    <w:p w14:paraId="2BAE27E2" w14:textId="0B184232" w:rsidR="005C6933" w:rsidRPr="005C6933" w:rsidRDefault="005C6933" w:rsidP="0013657E">
      <w:pPr>
        <w:tabs>
          <w:tab w:val="left" w:pos="5531"/>
        </w:tabs>
        <w:spacing w:line="360" w:lineRule="auto"/>
        <w:ind w:left="0" w:right="1693"/>
        <w:rPr>
          <w:rFonts w:cs="Arial"/>
          <w:b/>
          <w:bCs/>
          <w:szCs w:val="20"/>
        </w:rPr>
      </w:pPr>
      <w:r>
        <w:rPr>
          <w:rFonts w:cs="Arial"/>
          <w:b/>
          <w:bCs/>
          <w:szCs w:val="20"/>
        </w:rPr>
        <w:t>Ideal para instalaciones Greenfield y Brownfield</w:t>
      </w:r>
    </w:p>
    <w:p w14:paraId="540EBF41" w14:textId="77777777" w:rsidR="00EA1F1A" w:rsidRDefault="00EA1F1A" w:rsidP="004C4ACF">
      <w:pPr>
        <w:spacing w:line="360" w:lineRule="auto"/>
        <w:ind w:left="0" w:right="1693"/>
        <w:rPr>
          <w:rFonts w:cs="Arial"/>
          <w:bCs/>
          <w:szCs w:val="20"/>
        </w:rPr>
      </w:pPr>
    </w:p>
    <w:p w14:paraId="54CC0936" w14:textId="5C843FDA" w:rsidR="00C91EE3" w:rsidRDefault="00EF36C4" w:rsidP="004C4ACF">
      <w:pPr>
        <w:spacing w:line="360" w:lineRule="auto"/>
        <w:ind w:left="0" w:right="1693"/>
        <w:rPr>
          <w:rFonts w:cs="Arial"/>
          <w:bCs/>
          <w:szCs w:val="20"/>
        </w:rPr>
      </w:pPr>
      <w:r>
        <w:rPr>
          <w:rFonts w:cs="Arial"/>
          <w:bCs/>
          <w:szCs w:val="20"/>
        </w:rPr>
        <w:t xml:space="preserve">Los proyectos de logística de productos refrigerados y ultracongelados reciben un impulso adicional, pues cada vez son más las personas que desean comer de manera más saludable que antes y, por lo tanto, los alimentos delicados como las frutas, las verduras, la leche o sustitutos de proteínas deben distribuirse a las tiendas lo más rápido posible. Incluso las tiendas de descuentos, que han confiado en procesos manuales optimizados durante décadas, optan cada vez más por la automatización. FullPick ofrece la ventaja de que el sistema se puede implementar tanto en edificios nuevos (greenfield) como en edificios existentes (brownfield). </w:t>
      </w:r>
    </w:p>
    <w:p w14:paraId="328A4C56" w14:textId="77777777" w:rsidR="00F7324D" w:rsidRDefault="00F7324D" w:rsidP="004C4ACF">
      <w:pPr>
        <w:spacing w:line="360" w:lineRule="auto"/>
        <w:ind w:left="0" w:right="1693"/>
        <w:rPr>
          <w:rFonts w:cs="Arial"/>
          <w:bCs/>
          <w:szCs w:val="20"/>
        </w:rPr>
      </w:pPr>
    </w:p>
    <w:p w14:paraId="7EF2972D" w14:textId="64646F15" w:rsidR="001A2DD1" w:rsidRPr="002B6E37" w:rsidRDefault="008F4785" w:rsidP="003C0CE6">
      <w:pPr>
        <w:spacing w:line="360" w:lineRule="auto"/>
        <w:ind w:left="0" w:right="1693"/>
        <w:rPr>
          <w:rFonts w:cs="Arial"/>
          <w:bCs/>
          <w:szCs w:val="20"/>
        </w:rPr>
      </w:pPr>
      <w:r>
        <w:rPr>
          <w:rFonts w:cs="Arial"/>
          <w:bCs/>
          <w:szCs w:val="20"/>
        </w:rPr>
        <w:t xml:space="preserve">Para poder brindar a los clientes de la industria alimentaria y el comercio minorista un soporte global aún mejor, TGW pone su experiencia a disposición: la unidad empresarial Grocery Retail, dirigida por Peter Ehrenhuber, es responsable del desarrollo constante de soluciones optimizadas para el cliente. </w:t>
      </w:r>
    </w:p>
    <w:p w14:paraId="4A8866AC" w14:textId="2FA37CF6" w:rsidR="00026F3C" w:rsidRDefault="005A712E" w:rsidP="003C0CE6">
      <w:pPr>
        <w:spacing w:line="360" w:lineRule="auto"/>
        <w:ind w:left="0" w:right="1693"/>
      </w:pPr>
      <w:hyperlink r:id="rId11" w:history="1">
        <w:r w:rsidR="006E2523">
          <w:rPr>
            <w:rStyle w:val="Hyperlink"/>
          </w:rPr>
          <w:t>www.tgw-group.com</w:t>
        </w:r>
      </w:hyperlink>
    </w:p>
    <w:p w14:paraId="591E095A" w14:textId="1BC3DBB2" w:rsidR="00F4798C" w:rsidRPr="00FB100C" w:rsidRDefault="00F4798C" w:rsidP="003C0CE6">
      <w:pPr>
        <w:spacing w:line="360" w:lineRule="auto"/>
        <w:ind w:left="0" w:right="1693"/>
      </w:pPr>
    </w:p>
    <w:p w14:paraId="62BF05E4" w14:textId="77777777"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Acerca de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implementa instalaciones automatizadas para sus clientes internacionales, de la A de Adidas a la Z de Zalando. Como integrador de sistemas, TGW se encarga de la planificación, la producción y la realización de centros logísticos complejos, desde la mecatrónica y la robótica hasta el control y el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tiene oficinas en Europa, China y EE. UU. y emplea a más de 4 400 personas en todo el mundo. En el ejercicio 2021/2022, la empresa obtuvo una facturación total de 924 millones de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2D7570D3"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9AE8BB2"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0831DCE5"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7BF3FDA0"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A55EB6B" w14:textId="77777777" w:rsidR="00BC7952" w:rsidRDefault="00BC7952" w:rsidP="00BC7952">
      <w:pPr>
        <w:spacing w:line="240" w:lineRule="auto"/>
        <w:ind w:left="0" w:right="1693"/>
        <w:rPr>
          <w:rStyle w:val="Hyperlink"/>
          <w:color w:val="auto"/>
          <w:u w:val="none"/>
        </w:rPr>
      </w:pPr>
    </w:p>
    <w:p w14:paraId="2D35514C" w14:textId="77777777" w:rsidR="00F92A0D" w:rsidRDefault="00F92A0D" w:rsidP="00BC7952">
      <w:pPr>
        <w:spacing w:line="240" w:lineRule="auto"/>
        <w:ind w:left="0" w:right="1693"/>
        <w:rPr>
          <w:rStyle w:val="Hyperlink"/>
          <w:color w:val="auto"/>
          <w:u w:val="none"/>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14:paraId="74FC38ED"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5E1C6B24" w14:textId="2E23B565" w:rsidR="006231AE" w:rsidRPr="00C75E76" w:rsidRDefault="00BC7952" w:rsidP="00C75E76">
      <w:pPr>
        <w:spacing w:line="240" w:lineRule="auto"/>
        <w:ind w:left="0" w:right="1693"/>
        <w:rPr>
          <w:lang w:val="en-AU"/>
        </w:rPr>
      </w:pPr>
      <w:r>
        <w:rPr>
          <w:rStyle w:val="Hyperlink"/>
          <w:color w:val="auto"/>
          <w:u w:val="none"/>
        </w:rPr>
        <w:t>alexander.tahedl@tgw-group.com</w:t>
      </w:r>
    </w:p>
    <w:sectPr w:rsidR="006231AE" w:rsidRPr="00C75E7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7396" w14:textId="77777777" w:rsidR="00BA3E92" w:rsidRDefault="00BA3E92" w:rsidP="00764006">
      <w:pPr>
        <w:spacing w:line="240" w:lineRule="auto"/>
      </w:pPr>
      <w:r>
        <w:separator/>
      </w:r>
    </w:p>
  </w:endnote>
  <w:endnote w:type="continuationSeparator" w:id="0">
    <w:p w14:paraId="4B9AC83B" w14:textId="77777777" w:rsidR="00BA3E92" w:rsidRDefault="00BA3E9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2B2F2A97"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5A712E">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5A712E">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71F5" w14:textId="77777777" w:rsidR="00BA3E92" w:rsidRDefault="00BA3E92" w:rsidP="00764006">
      <w:pPr>
        <w:spacing w:line="240" w:lineRule="auto"/>
      </w:pPr>
      <w:r>
        <w:separator/>
      </w:r>
    </w:p>
  </w:footnote>
  <w:footnote w:type="continuationSeparator" w:id="0">
    <w:p w14:paraId="61D52032" w14:textId="77777777" w:rsidR="00BA3E92" w:rsidRDefault="00BA3E9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26F3C"/>
    <w:rsid w:val="00030C83"/>
    <w:rsid w:val="00035C49"/>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F3B"/>
    <w:rsid w:val="00055139"/>
    <w:rsid w:val="00055611"/>
    <w:rsid w:val="00055AC1"/>
    <w:rsid w:val="00056AA7"/>
    <w:rsid w:val="00060901"/>
    <w:rsid w:val="00061BDB"/>
    <w:rsid w:val="00064F2D"/>
    <w:rsid w:val="00065D47"/>
    <w:rsid w:val="00066244"/>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5A7"/>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0FF"/>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A93"/>
    <w:rsid w:val="000B5C66"/>
    <w:rsid w:val="000B6542"/>
    <w:rsid w:val="000B65C7"/>
    <w:rsid w:val="000B65E5"/>
    <w:rsid w:val="000B74E7"/>
    <w:rsid w:val="000B7FAB"/>
    <w:rsid w:val="000C1122"/>
    <w:rsid w:val="000C14A0"/>
    <w:rsid w:val="000C22C3"/>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C7A"/>
    <w:rsid w:val="001113B7"/>
    <w:rsid w:val="001119B7"/>
    <w:rsid w:val="00111A67"/>
    <w:rsid w:val="001136BD"/>
    <w:rsid w:val="00113DEF"/>
    <w:rsid w:val="0011473E"/>
    <w:rsid w:val="00114EE0"/>
    <w:rsid w:val="00116B32"/>
    <w:rsid w:val="0012094E"/>
    <w:rsid w:val="00121306"/>
    <w:rsid w:val="001230A6"/>
    <w:rsid w:val="00125FEB"/>
    <w:rsid w:val="0012627D"/>
    <w:rsid w:val="00126DA1"/>
    <w:rsid w:val="00127ECE"/>
    <w:rsid w:val="001305E8"/>
    <w:rsid w:val="00130D09"/>
    <w:rsid w:val="00131A55"/>
    <w:rsid w:val="001336DF"/>
    <w:rsid w:val="0013383F"/>
    <w:rsid w:val="001338DB"/>
    <w:rsid w:val="00134AF1"/>
    <w:rsid w:val="0013657E"/>
    <w:rsid w:val="001404D7"/>
    <w:rsid w:val="00141099"/>
    <w:rsid w:val="00141368"/>
    <w:rsid w:val="00142015"/>
    <w:rsid w:val="00142599"/>
    <w:rsid w:val="001429F4"/>
    <w:rsid w:val="00142C72"/>
    <w:rsid w:val="00142D0C"/>
    <w:rsid w:val="00144E88"/>
    <w:rsid w:val="00147C5F"/>
    <w:rsid w:val="001517A8"/>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930"/>
    <w:rsid w:val="00197269"/>
    <w:rsid w:val="001A0128"/>
    <w:rsid w:val="001A12C6"/>
    <w:rsid w:val="001A2DCB"/>
    <w:rsid w:val="001A2DD1"/>
    <w:rsid w:val="001A33BD"/>
    <w:rsid w:val="001A4166"/>
    <w:rsid w:val="001A474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03D"/>
    <w:rsid w:val="00247B61"/>
    <w:rsid w:val="00250BA2"/>
    <w:rsid w:val="00251AD0"/>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461A"/>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8E7"/>
    <w:rsid w:val="002A7A17"/>
    <w:rsid w:val="002A7D7D"/>
    <w:rsid w:val="002B0793"/>
    <w:rsid w:val="002B21E2"/>
    <w:rsid w:val="002B4B19"/>
    <w:rsid w:val="002B6E37"/>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1648"/>
    <w:rsid w:val="002E58ED"/>
    <w:rsid w:val="002E789B"/>
    <w:rsid w:val="002F3A9A"/>
    <w:rsid w:val="002F43AF"/>
    <w:rsid w:val="002F4844"/>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007"/>
    <w:rsid w:val="00335A41"/>
    <w:rsid w:val="00335DC4"/>
    <w:rsid w:val="003363D4"/>
    <w:rsid w:val="00336D99"/>
    <w:rsid w:val="00337AF6"/>
    <w:rsid w:val="00340066"/>
    <w:rsid w:val="00340165"/>
    <w:rsid w:val="00340AD4"/>
    <w:rsid w:val="00341C96"/>
    <w:rsid w:val="003421B0"/>
    <w:rsid w:val="0034316E"/>
    <w:rsid w:val="00345413"/>
    <w:rsid w:val="00352A60"/>
    <w:rsid w:val="00352D7B"/>
    <w:rsid w:val="003533A3"/>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6B7"/>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5D2B"/>
    <w:rsid w:val="003D6248"/>
    <w:rsid w:val="003E002C"/>
    <w:rsid w:val="003E0736"/>
    <w:rsid w:val="003E0B49"/>
    <w:rsid w:val="003E0F62"/>
    <w:rsid w:val="003E12C1"/>
    <w:rsid w:val="003E2BD2"/>
    <w:rsid w:val="003E3F4D"/>
    <w:rsid w:val="003E4032"/>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324"/>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4E72"/>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3C70"/>
    <w:rsid w:val="0049427C"/>
    <w:rsid w:val="00494BF3"/>
    <w:rsid w:val="0049726A"/>
    <w:rsid w:val="00497FF7"/>
    <w:rsid w:val="004A203A"/>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5FF1"/>
    <w:rsid w:val="004E6B8D"/>
    <w:rsid w:val="004E6F92"/>
    <w:rsid w:val="004E7AC4"/>
    <w:rsid w:val="004E7C4A"/>
    <w:rsid w:val="004F3F04"/>
    <w:rsid w:val="004F4796"/>
    <w:rsid w:val="004F4842"/>
    <w:rsid w:val="004F4BFF"/>
    <w:rsid w:val="004F5AB1"/>
    <w:rsid w:val="004F6224"/>
    <w:rsid w:val="004F6ECF"/>
    <w:rsid w:val="0050153C"/>
    <w:rsid w:val="00503145"/>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2B8"/>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879EA"/>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712E"/>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C6584"/>
    <w:rsid w:val="005C6933"/>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450"/>
    <w:rsid w:val="005F35FC"/>
    <w:rsid w:val="005F366F"/>
    <w:rsid w:val="005F3E99"/>
    <w:rsid w:val="005F44F1"/>
    <w:rsid w:val="005F473F"/>
    <w:rsid w:val="005F5A9E"/>
    <w:rsid w:val="005F7BE5"/>
    <w:rsid w:val="006021E3"/>
    <w:rsid w:val="00602E67"/>
    <w:rsid w:val="006032DA"/>
    <w:rsid w:val="006034C0"/>
    <w:rsid w:val="00603AE6"/>
    <w:rsid w:val="00604410"/>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56A2"/>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93F"/>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523"/>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34B3"/>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16AD4"/>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4E5"/>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3C72"/>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20CE"/>
    <w:rsid w:val="007A3A1F"/>
    <w:rsid w:val="007A3E95"/>
    <w:rsid w:val="007A4AEF"/>
    <w:rsid w:val="007A51FF"/>
    <w:rsid w:val="007A54A1"/>
    <w:rsid w:val="007A5FAD"/>
    <w:rsid w:val="007A7055"/>
    <w:rsid w:val="007A7748"/>
    <w:rsid w:val="007B043A"/>
    <w:rsid w:val="007B1C97"/>
    <w:rsid w:val="007B3696"/>
    <w:rsid w:val="007B5E3F"/>
    <w:rsid w:val="007B630A"/>
    <w:rsid w:val="007B7730"/>
    <w:rsid w:val="007C0613"/>
    <w:rsid w:val="007C1E1D"/>
    <w:rsid w:val="007C23BC"/>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16B7"/>
    <w:rsid w:val="00812390"/>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4BF6"/>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26"/>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785"/>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1502"/>
    <w:rsid w:val="009121BF"/>
    <w:rsid w:val="009123B7"/>
    <w:rsid w:val="009127A6"/>
    <w:rsid w:val="00913084"/>
    <w:rsid w:val="00913A82"/>
    <w:rsid w:val="00914596"/>
    <w:rsid w:val="00915902"/>
    <w:rsid w:val="00916714"/>
    <w:rsid w:val="00917115"/>
    <w:rsid w:val="00917CF1"/>
    <w:rsid w:val="00920D0B"/>
    <w:rsid w:val="009214E5"/>
    <w:rsid w:val="00922878"/>
    <w:rsid w:val="00923B54"/>
    <w:rsid w:val="00924271"/>
    <w:rsid w:val="009242D9"/>
    <w:rsid w:val="0092444F"/>
    <w:rsid w:val="009248C3"/>
    <w:rsid w:val="009275F8"/>
    <w:rsid w:val="00927821"/>
    <w:rsid w:val="009321FE"/>
    <w:rsid w:val="00933F0C"/>
    <w:rsid w:val="00934279"/>
    <w:rsid w:val="00942462"/>
    <w:rsid w:val="009428A3"/>
    <w:rsid w:val="00942EDF"/>
    <w:rsid w:val="009440B4"/>
    <w:rsid w:val="0094458E"/>
    <w:rsid w:val="00944A2A"/>
    <w:rsid w:val="00946640"/>
    <w:rsid w:val="009560B9"/>
    <w:rsid w:val="00956818"/>
    <w:rsid w:val="00956F14"/>
    <w:rsid w:val="009572CC"/>
    <w:rsid w:val="009600F6"/>
    <w:rsid w:val="00960EC7"/>
    <w:rsid w:val="00963BEA"/>
    <w:rsid w:val="0096506B"/>
    <w:rsid w:val="00965E18"/>
    <w:rsid w:val="009663CB"/>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0A6C"/>
    <w:rsid w:val="009F1969"/>
    <w:rsid w:val="009F287A"/>
    <w:rsid w:val="009F515B"/>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3B8"/>
    <w:rsid w:val="00A81907"/>
    <w:rsid w:val="00A82014"/>
    <w:rsid w:val="00A8419E"/>
    <w:rsid w:val="00A85D83"/>
    <w:rsid w:val="00A8601C"/>
    <w:rsid w:val="00A86616"/>
    <w:rsid w:val="00A874D1"/>
    <w:rsid w:val="00A875FA"/>
    <w:rsid w:val="00A90FF4"/>
    <w:rsid w:val="00A91155"/>
    <w:rsid w:val="00A92C6B"/>
    <w:rsid w:val="00A93FD0"/>
    <w:rsid w:val="00A95202"/>
    <w:rsid w:val="00A953DD"/>
    <w:rsid w:val="00A96A83"/>
    <w:rsid w:val="00A96FA4"/>
    <w:rsid w:val="00A97BFD"/>
    <w:rsid w:val="00AA0016"/>
    <w:rsid w:val="00AA055D"/>
    <w:rsid w:val="00AA1407"/>
    <w:rsid w:val="00AA3331"/>
    <w:rsid w:val="00AA3942"/>
    <w:rsid w:val="00AA5222"/>
    <w:rsid w:val="00AA52E5"/>
    <w:rsid w:val="00AA5911"/>
    <w:rsid w:val="00AA7624"/>
    <w:rsid w:val="00AB19F8"/>
    <w:rsid w:val="00AB2298"/>
    <w:rsid w:val="00AB2841"/>
    <w:rsid w:val="00AB2EE2"/>
    <w:rsid w:val="00AB3FC4"/>
    <w:rsid w:val="00AB4626"/>
    <w:rsid w:val="00AB76C0"/>
    <w:rsid w:val="00AC23B9"/>
    <w:rsid w:val="00AC25B4"/>
    <w:rsid w:val="00AC49AD"/>
    <w:rsid w:val="00AC5342"/>
    <w:rsid w:val="00AC55E3"/>
    <w:rsid w:val="00AC659A"/>
    <w:rsid w:val="00AD0287"/>
    <w:rsid w:val="00AD05E4"/>
    <w:rsid w:val="00AD14B2"/>
    <w:rsid w:val="00AD3796"/>
    <w:rsid w:val="00AD3C4D"/>
    <w:rsid w:val="00AD4207"/>
    <w:rsid w:val="00AD607B"/>
    <w:rsid w:val="00AE0990"/>
    <w:rsid w:val="00AE0CE2"/>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A25"/>
    <w:rsid w:val="00B05D38"/>
    <w:rsid w:val="00B05D6A"/>
    <w:rsid w:val="00B06010"/>
    <w:rsid w:val="00B0715C"/>
    <w:rsid w:val="00B0741F"/>
    <w:rsid w:val="00B07ECB"/>
    <w:rsid w:val="00B10CF5"/>
    <w:rsid w:val="00B11AE4"/>
    <w:rsid w:val="00B1229D"/>
    <w:rsid w:val="00B13945"/>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5C6"/>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3E92"/>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661"/>
    <w:rsid w:val="00BE0EBD"/>
    <w:rsid w:val="00BE1584"/>
    <w:rsid w:val="00BE1962"/>
    <w:rsid w:val="00BE1B22"/>
    <w:rsid w:val="00BE5942"/>
    <w:rsid w:val="00BE6D0C"/>
    <w:rsid w:val="00BE71EE"/>
    <w:rsid w:val="00BE7DE1"/>
    <w:rsid w:val="00BF4E96"/>
    <w:rsid w:val="00BF6A07"/>
    <w:rsid w:val="00C00CE0"/>
    <w:rsid w:val="00C021D7"/>
    <w:rsid w:val="00C06703"/>
    <w:rsid w:val="00C07327"/>
    <w:rsid w:val="00C07CD8"/>
    <w:rsid w:val="00C113A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1128"/>
    <w:rsid w:val="00C22048"/>
    <w:rsid w:val="00C22070"/>
    <w:rsid w:val="00C22097"/>
    <w:rsid w:val="00C22962"/>
    <w:rsid w:val="00C22BAC"/>
    <w:rsid w:val="00C25152"/>
    <w:rsid w:val="00C255D2"/>
    <w:rsid w:val="00C2672F"/>
    <w:rsid w:val="00C26A01"/>
    <w:rsid w:val="00C31626"/>
    <w:rsid w:val="00C31E1B"/>
    <w:rsid w:val="00C333F7"/>
    <w:rsid w:val="00C34481"/>
    <w:rsid w:val="00C35D09"/>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3F41"/>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75E"/>
    <w:rsid w:val="00C74C65"/>
    <w:rsid w:val="00C75E76"/>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5B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564C"/>
    <w:rsid w:val="00CB65FF"/>
    <w:rsid w:val="00CC1A91"/>
    <w:rsid w:val="00CC1C9A"/>
    <w:rsid w:val="00CC3B54"/>
    <w:rsid w:val="00CC410F"/>
    <w:rsid w:val="00CC4F29"/>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E6EC4"/>
    <w:rsid w:val="00CF0015"/>
    <w:rsid w:val="00CF0AD2"/>
    <w:rsid w:val="00CF2559"/>
    <w:rsid w:val="00CF2A64"/>
    <w:rsid w:val="00CF2B23"/>
    <w:rsid w:val="00CF30C0"/>
    <w:rsid w:val="00CF386D"/>
    <w:rsid w:val="00CF549B"/>
    <w:rsid w:val="00CF5748"/>
    <w:rsid w:val="00CF6255"/>
    <w:rsid w:val="00CF7A4C"/>
    <w:rsid w:val="00CF7C9A"/>
    <w:rsid w:val="00D00D4A"/>
    <w:rsid w:val="00D01324"/>
    <w:rsid w:val="00D01632"/>
    <w:rsid w:val="00D024D9"/>
    <w:rsid w:val="00D0311C"/>
    <w:rsid w:val="00D04086"/>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5B"/>
    <w:rsid w:val="00D55EED"/>
    <w:rsid w:val="00D57116"/>
    <w:rsid w:val="00D575CA"/>
    <w:rsid w:val="00D60658"/>
    <w:rsid w:val="00D61BA8"/>
    <w:rsid w:val="00D63C1E"/>
    <w:rsid w:val="00D64AB3"/>
    <w:rsid w:val="00D65324"/>
    <w:rsid w:val="00D65CBF"/>
    <w:rsid w:val="00D66A7D"/>
    <w:rsid w:val="00D66FB8"/>
    <w:rsid w:val="00D67FCF"/>
    <w:rsid w:val="00D713C3"/>
    <w:rsid w:val="00D715C5"/>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16D5"/>
    <w:rsid w:val="00DB2DDF"/>
    <w:rsid w:val="00DB3994"/>
    <w:rsid w:val="00DB5508"/>
    <w:rsid w:val="00DB5FD2"/>
    <w:rsid w:val="00DB6C26"/>
    <w:rsid w:val="00DB71E9"/>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2A94"/>
    <w:rsid w:val="00E831F3"/>
    <w:rsid w:val="00E835B4"/>
    <w:rsid w:val="00E8363C"/>
    <w:rsid w:val="00E83B24"/>
    <w:rsid w:val="00E843E4"/>
    <w:rsid w:val="00E8471F"/>
    <w:rsid w:val="00E8514D"/>
    <w:rsid w:val="00E85855"/>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95E"/>
    <w:rsid w:val="00F42BEC"/>
    <w:rsid w:val="00F458B9"/>
    <w:rsid w:val="00F45983"/>
    <w:rsid w:val="00F45CFD"/>
    <w:rsid w:val="00F46904"/>
    <w:rsid w:val="00F4798C"/>
    <w:rsid w:val="00F50672"/>
    <w:rsid w:val="00F52E2B"/>
    <w:rsid w:val="00F5312D"/>
    <w:rsid w:val="00F5384B"/>
    <w:rsid w:val="00F55627"/>
    <w:rsid w:val="00F56EB8"/>
    <w:rsid w:val="00F57AE6"/>
    <w:rsid w:val="00F6065D"/>
    <w:rsid w:val="00F62FD0"/>
    <w:rsid w:val="00F63B6A"/>
    <w:rsid w:val="00F6493F"/>
    <w:rsid w:val="00F65CC3"/>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3243"/>
    <w:rsid w:val="00F945EB"/>
    <w:rsid w:val="00F94D68"/>
    <w:rsid w:val="00F95B74"/>
    <w:rsid w:val="00F95D30"/>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bbba48b-ed70-4d4f-bc70-b74f508f6d15"/>
    <ds:schemaRef ds:uri="http://www.w3.org/XML/1998/namespace"/>
  </ds:schemaRefs>
</ds:datastoreItem>
</file>

<file path=customXml/itemProps4.xml><?xml version="1.0" encoding="utf-8"?>
<ds:datastoreItem xmlns:ds="http://schemas.openxmlformats.org/officeDocument/2006/customXml" ds:itemID="{E3B2944E-12FA-48C4-AB39-D5DB428D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4932</Characters>
  <Application>Microsoft Office Word</Application>
  <DocSecurity>0</DocSecurity>
  <Lines>41</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FullPick: TGW presenta una solución eficiente para un picking totalmente automatizado de palets mixtos</vt:lpstr>
      <vt:lpstr>FullPick: TGW presenta una solución eficiente para un picking totalmente automatizado de palets mixtos</vt:lpstr>
    </vt:vector>
  </TitlesOfParts>
  <Company>Klug</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FullPick: TGW presenta una solución eficiente para el picking totalmente automatizado de palets mixtos</dc:title>
  <dc:subject/>
  <dc:creator>Tahedl Alexander</dc:creator>
  <cp:keywords>FullPick: TGW presenta una solución eficiente para el picking totalmente automatizado de palets mixtos</cp:keywords>
  <dc:description/>
  <cp:lastModifiedBy>Tahedl Alexander</cp:lastModifiedBy>
  <cp:revision>7</cp:revision>
  <cp:lastPrinted>2022-02-02T15:07:00Z</cp:lastPrinted>
  <dcterms:created xsi:type="dcterms:W3CDTF">2023-04-27T06:54:00Z</dcterms:created>
  <dcterms:modified xsi:type="dcterms:W3CDTF">2023-04-27T07:32:00Z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