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8E84" w14:textId="1F3AD7BE" w:rsidR="00BC10BF" w:rsidRPr="00606F06" w:rsidRDefault="00BC10BF" w:rsidP="00BC10BF">
      <w:pPr>
        <w:spacing w:before="120" w:after="240"/>
        <w:ind w:right="1983"/>
        <w:jc w:val="both"/>
        <w:rPr>
          <w:sz w:val="28"/>
          <w:lang w:val="fr-FR"/>
        </w:rPr>
      </w:pPr>
      <w:r w:rsidRPr="00606F06">
        <w:rPr>
          <w:b/>
          <w:sz w:val="28"/>
          <w:lang w:val="fr-FR"/>
        </w:rPr>
        <w:t xml:space="preserve">Nouvelle </w:t>
      </w:r>
      <w:r>
        <w:rPr>
          <w:b/>
          <w:sz w:val="28"/>
          <w:lang w:val="fr-FR"/>
        </w:rPr>
        <w:t>s</w:t>
      </w:r>
      <w:r w:rsidRPr="00606F06">
        <w:rPr>
          <w:b/>
          <w:sz w:val="28"/>
          <w:lang w:val="fr-FR"/>
        </w:rPr>
        <w:t>tratégie – nouvelle logistique :</w:t>
      </w:r>
      <w:r>
        <w:rPr>
          <w:b/>
          <w:sz w:val="28"/>
          <w:lang w:val="fr-FR"/>
        </w:rPr>
        <w:t xml:space="preserve"> </w:t>
      </w:r>
      <w:r w:rsidRPr="00606F06">
        <w:rPr>
          <w:b/>
          <w:sz w:val="28"/>
          <w:lang w:val="fr-FR"/>
        </w:rPr>
        <w:t xml:space="preserve">TGW </w:t>
      </w:r>
      <w:r>
        <w:rPr>
          <w:b/>
          <w:sz w:val="28"/>
          <w:lang w:val="fr-FR"/>
        </w:rPr>
        <w:t>agrandit le centre logistique de Triumph</w:t>
      </w:r>
    </w:p>
    <w:p w14:paraId="23D0789B" w14:textId="77777777" w:rsidR="00BC10BF" w:rsidRPr="00EA11D3" w:rsidRDefault="00BC10BF" w:rsidP="00BC10BF">
      <w:pPr>
        <w:spacing w:before="120" w:after="240"/>
        <w:ind w:right="1983"/>
        <w:jc w:val="both"/>
        <w:rPr>
          <w:b/>
          <w:lang w:val="fr-FR"/>
        </w:rPr>
      </w:pPr>
      <w:r w:rsidRPr="00606F06">
        <w:rPr>
          <w:b/>
          <w:lang w:val="fr-FR"/>
        </w:rPr>
        <w:t>La société Triumph International AG a décidé</w:t>
      </w:r>
      <w:r>
        <w:rPr>
          <w:b/>
          <w:lang w:val="fr-FR"/>
        </w:rPr>
        <w:t>,</w:t>
      </w:r>
      <w:r w:rsidRPr="00606F06">
        <w:rPr>
          <w:b/>
          <w:lang w:val="fr-FR"/>
        </w:rPr>
        <w:t xml:space="preserve"> dans le cadre de la r</w:t>
      </w:r>
      <w:r>
        <w:rPr>
          <w:b/>
          <w:lang w:val="fr-FR"/>
        </w:rPr>
        <w:t>éorganisation</w:t>
      </w:r>
      <w:r w:rsidRPr="00606F06">
        <w:rPr>
          <w:b/>
          <w:lang w:val="fr-FR"/>
        </w:rPr>
        <w:t xml:space="preserve"> </w:t>
      </w:r>
      <w:proofErr w:type="gramStart"/>
      <w:r w:rsidRPr="00606F06">
        <w:rPr>
          <w:b/>
          <w:lang w:val="fr-FR"/>
        </w:rPr>
        <w:t>de</w:t>
      </w:r>
      <w:proofErr w:type="gramEnd"/>
      <w:r w:rsidRPr="00606F06">
        <w:rPr>
          <w:b/>
          <w:lang w:val="fr-FR"/>
        </w:rPr>
        <w:t xml:space="preserve"> sa stratégie logistique</w:t>
      </w:r>
      <w:r>
        <w:rPr>
          <w:b/>
          <w:lang w:val="fr-FR"/>
        </w:rPr>
        <w:t>,</w:t>
      </w:r>
      <w:r w:rsidRPr="00606F06">
        <w:rPr>
          <w:b/>
          <w:lang w:val="fr-FR"/>
        </w:rPr>
        <w:t xml:space="preserve"> d’agrandir </w:t>
      </w:r>
      <w:r>
        <w:rPr>
          <w:b/>
          <w:lang w:val="fr-FR"/>
        </w:rPr>
        <w:t xml:space="preserve">son centre logistique existant à </w:t>
      </w:r>
      <w:r w:rsidRPr="00606F06">
        <w:rPr>
          <w:b/>
          <w:lang w:val="fr-FR"/>
        </w:rPr>
        <w:t>Wiener Neustadt</w:t>
      </w:r>
      <w:r>
        <w:rPr>
          <w:b/>
          <w:lang w:val="fr-FR"/>
        </w:rPr>
        <w:t xml:space="preserve"> en Autriche</w:t>
      </w:r>
      <w:r w:rsidRPr="00606F06">
        <w:rPr>
          <w:b/>
          <w:lang w:val="fr-FR"/>
        </w:rPr>
        <w:t xml:space="preserve">. </w:t>
      </w:r>
      <w:r w:rsidRPr="00EA11D3">
        <w:rPr>
          <w:b/>
          <w:lang w:val="fr-FR"/>
        </w:rPr>
        <w:t xml:space="preserve">TGW Logistics Group va mettre en </w:t>
      </w:r>
      <w:r>
        <w:rPr>
          <w:b/>
          <w:lang w:val="fr-FR"/>
        </w:rPr>
        <w:t>œuvre</w:t>
      </w:r>
      <w:r w:rsidRPr="00EA11D3">
        <w:rPr>
          <w:b/>
          <w:lang w:val="fr-FR"/>
        </w:rPr>
        <w:t xml:space="preserve"> cette nouvelle stratégie logistique.</w:t>
      </w:r>
    </w:p>
    <w:p w14:paraId="29CF9530" w14:textId="026008F1" w:rsidR="00CE3F0D" w:rsidRPr="0010443D" w:rsidRDefault="00CE3F0D" w:rsidP="00CE3F0D">
      <w:pPr>
        <w:spacing w:before="120" w:after="240"/>
        <w:ind w:right="1983"/>
        <w:rPr>
          <w:lang w:val="en-GB"/>
        </w:rPr>
      </w:pPr>
      <w:r w:rsidRPr="0010443D">
        <w:rPr>
          <w:lang w:val="en-GB"/>
        </w:rPr>
        <w:t>The Austrian manufacturer of lingerie and underwear Triumph International AG operates a Central Warehouse with a quality check and packing site connected to it. In the course of a strategic reorganisation of the company's logistics, Triumph placed an order with TGW for the building of a rack shelf picking area.</w:t>
      </w:r>
    </w:p>
    <w:p w14:paraId="0320DB8D" w14:textId="77777777" w:rsidR="00BC10BF" w:rsidRPr="00746DEC" w:rsidRDefault="00BC10BF" w:rsidP="00BC10BF">
      <w:pPr>
        <w:spacing w:before="120" w:after="240"/>
        <w:ind w:right="1983"/>
        <w:jc w:val="both"/>
        <w:rPr>
          <w:lang w:val="fr-FR"/>
        </w:rPr>
      </w:pPr>
      <w:r w:rsidRPr="00746DEC">
        <w:rPr>
          <w:lang w:val="fr-FR"/>
        </w:rPr>
        <w:t>Le fabricant autrichien de lingerie et de sous-vêtements Triumph International AG met en œuvre un entrepôt central avec cont</w:t>
      </w:r>
      <w:r>
        <w:rPr>
          <w:lang w:val="fr-FR"/>
        </w:rPr>
        <w:t>rôle qualité et emballage connectés à ce dernier. Dans le cadre de la réorganisation de de sa logistique, Triumph a confié la construction de cet entrepôt de préparation de commandes</w:t>
      </w:r>
      <w:r w:rsidRPr="00746DEC">
        <w:rPr>
          <w:lang w:val="fr-FR"/>
        </w:rPr>
        <w:t xml:space="preserve"> </w:t>
      </w:r>
      <w:r>
        <w:rPr>
          <w:lang w:val="fr-FR"/>
        </w:rPr>
        <w:t>à TGW</w:t>
      </w:r>
      <w:r w:rsidRPr="00746DEC">
        <w:rPr>
          <w:lang w:val="fr-FR"/>
        </w:rPr>
        <w:t>.</w:t>
      </w:r>
    </w:p>
    <w:p w14:paraId="1E936FFD" w14:textId="77777777" w:rsidR="00BC10BF" w:rsidRPr="00CE77CF" w:rsidRDefault="00BC10BF" w:rsidP="00BC10BF">
      <w:pPr>
        <w:spacing w:before="120" w:after="240"/>
        <w:ind w:right="1983"/>
        <w:jc w:val="both"/>
        <w:rPr>
          <w:b/>
          <w:lang w:val="fr-FR"/>
        </w:rPr>
      </w:pPr>
      <w:r w:rsidRPr="00CE77CF">
        <w:rPr>
          <w:b/>
          <w:lang w:val="fr-FR"/>
        </w:rPr>
        <w:t>De nouvelles technologies pour des produits fragiles</w:t>
      </w:r>
    </w:p>
    <w:p w14:paraId="193C067F" w14:textId="77777777" w:rsidR="00BC10BF" w:rsidRPr="0024739F" w:rsidRDefault="00BC10BF" w:rsidP="00BC10BF">
      <w:pPr>
        <w:spacing w:before="120" w:after="240"/>
        <w:ind w:right="1983"/>
        <w:jc w:val="both"/>
        <w:rPr>
          <w:lang w:val="fr-FR"/>
        </w:rPr>
      </w:pPr>
      <w:r w:rsidRPr="00CE77CF">
        <w:rPr>
          <w:lang w:val="fr-FR"/>
        </w:rPr>
        <w:t>L’installation actuelle se compose de cinq halls sur deux niveaux</w:t>
      </w:r>
      <w:r>
        <w:rPr>
          <w:lang w:val="fr-FR"/>
        </w:rPr>
        <w:t>,</w:t>
      </w:r>
      <w:r w:rsidRPr="00CE77CF">
        <w:rPr>
          <w:lang w:val="fr-FR"/>
        </w:rPr>
        <w:t xml:space="preserve"> tous construits </w:t>
      </w:r>
      <w:r>
        <w:rPr>
          <w:lang w:val="fr-FR"/>
        </w:rPr>
        <w:t xml:space="preserve">de manière </w:t>
      </w:r>
      <w:r w:rsidRPr="00CE77CF">
        <w:rPr>
          <w:lang w:val="fr-FR"/>
        </w:rPr>
        <w:t>différe</w:t>
      </w:r>
      <w:r>
        <w:rPr>
          <w:lang w:val="fr-FR"/>
        </w:rPr>
        <w:t>nte</w:t>
      </w:r>
      <w:r w:rsidRPr="00CE77CF">
        <w:rPr>
          <w:lang w:val="fr-FR"/>
        </w:rPr>
        <w:t xml:space="preserve">. Le défi était d’intégrer dans le plan l’ensemble des caractéristiques du site existant. </w:t>
      </w:r>
      <w:r w:rsidRPr="00700F8F">
        <w:rPr>
          <w:lang w:val="fr-FR"/>
        </w:rPr>
        <w:t xml:space="preserve">Au final, ce sont 3,5 km de convoyeurs TGW </w:t>
      </w:r>
      <w:proofErr w:type="spellStart"/>
      <w:r w:rsidRPr="00700F8F">
        <w:rPr>
          <w:lang w:val="fr-FR"/>
        </w:rPr>
        <w:t>KingDrive</w:t>
      </w:r>
      <w:proofErr w:type="spellEnd"/>
      <w:r w:rsidRPr="00700F8F">
        <w:rPr>
          <w:lang w:val="fr-FR"/>
        </w:rPr>
        <w:t xml:space="preserve">® qui vont être mis en place et qui vont </w:t>
      </w:r>
      <w:r>
        <w:rPr>
          <w:lang w:val="fr-FR"/>
        </w:rPr>
        <w:t>relier</w:t>
      </w:r>
      <w:r w:rsidRPr="00700F8F">
        <w:rPr>
          <w:lang w:val="fr-FR"/>
        </w:rPr>
        <w:t xml:space="preserve"> l‘entrep</w:t>
      </w:r>
      <w:r>
        <w:rPr>
          <w:lang w:val="fr-FR"/>
        </w:rPr>
        <w:t xml:space="preserve">ôt de cartons existant au nouveau bâtiment de préparation de commandes. </w:t>
      </w:r>
      <w:r w:rsidRPr="007C3BF5">
        <w:rPr>
          <w:lang w:val="fr-FR"/>
        </w:rPr>
        <w:t>A cela s’ajoutent deux stockeurs « </w:t>
      </w:r>
      <w:proofErr w:type="spellStart"/>
      <w:r w:rsidRPr="007C3BF5">
        <w:rPr>
          <w:lang w:val="fr-FR"/>
        </w:rPr>
        <w:t>Commissionier</w:t>
      </w:r>
      <w:proofErr w:type="spellEnd"/>
      <w:r w:rsidRPr="007C3BF5">
        <w:rPr>
          <w:lang w:val="fr-FR"/>
        </w:rPr>
        <w:t> » utilisés comme tours de séquencement. La solution</w:t>
      </w:r>
      <w:r w:rsidRPr="00DD66FE">
        <w:rPr>
          <w:lang w:val="fr-FR"/>
        </w:rPr>
        <w:t xml:space="preserve"> développée par TGW utilise </w:t>
      </w:r>
      <w:r>
        <w:rPr>
          <w:lang w:val="fr-FR"/>
        </w:rPr>
        <w:t xml:space="preserve">parfaitement </w:t>
      </w:r>
      <w:r w:rsidRPr="00DD66FE">
        <w:rPr>
          <w:lang w:val="fr-FR"/>
        </w:rPr>
        <w:t>l’espace disponible et la conne</w:t>
      </w:r>
      <w:r>
        <w:rPr>
          <w:lang w:val="fr-FR"/>
        </w:rPr>
        <w:t>x</w:t>
      </w:r>
      <w:r w:rsidRPr="00DD66FE">
        <w:rPr>
          <w:lang w:val="fr-FR"/>
        </w:rPr>
        <w:t>ion avec l</w:t>
      </w:r>
      <w:r>
        <w:rPr>
          <w:lang w:val="fr-FR"/>
        </w:rPr>
        <w:t>es convoyeurs permet une réduct</w:t>
      </w:r>
      <w:r w:rsidRPr="00DD66FE">
        <w:rPr>
          <w:lang w:val="fr-FR"/>
        </w:rPr>
        <w:t xml:space="preserve">ion significative des temps de marche des opérateurs et </w:t>
      </w:r>
      <w:r>
        <w:rPr>
          <w:lang w:val="fr-FR"/>
        </w:rPr>
        <w:t xml:space="preserve">leur </w:t>
      </w:r>
      <w:r w:rsidRPr="00DD66FE">
        <w:rPr>
          <w:lang w:val="fr-FR"/>
        </w:rPr>
        <w:t>permet</w:t>
      </w:r>
      <w:r>
        <w:rPr>
          <w:lang w:val="fr-FR"/>
        </w:rPr>
        <w:t xml:space="preserve"> ainsi d’optimiser leur temps de travail.</w:t>
      </w:r>
      <w:r w:rsidRPr="000D63AE">
        <w:rPr>
          <w:lang w:val="fr-FR"/>
        </w:rPr>
        <w:t xml:space="preserve"> </w:t>
      </w:r>
      <w:r>
        <w:rPr>
          <w:lang w:val="fr-FR"/>
        </w:rPr>
        <w:t>La séparation de l</w:t>
      </w:r>
      <w:r w:rsidRPr="0024739F">
        <w:rPr>
          <w:lang w:val="fr-FR"/>
        </w:rPr>
        <w:t xml:space="preserve">a préparation de commandes et </w:t>
      </w:r>
      <w:r>
        <w:rPr>
          <w:lang w:val="fr-FR"/>
        </w:rPr>
        <w:t xml:space="preserve">du </w:t>
      </w:r>
      <w:r w:rsidRPr="0024739F">
        <w:rPr>
          <w:lang w:val="fr-FR"/>
        </w:rPr>
        <w:t xml:space="preserve">réapprovisionnement </w:t>
      </w:r>
      <w:r>
        <w:rPr>
          <w:lang w:val="fr-FR"/>
        </w:rPr>
        <w:t>permettra</w:t>
      </w:r>
      <w:r w:rsidRPr="0024739F">
        <w:rPr>
          <w:lang w:val="fr-FR"/>
        </w:rPr>
        <w:t xml:space="preserve"> une disponibilité plus rapide des articles et une plus grande flexibilité du système.</w:t>
      </w:r>
    </w:p>
    <w:p w14:paraId="2ED1E87D" w14:textId="77777777" w:rsidR="00BC10BF" w:rsidRPr="00452574" w:rsidRDefault="00BC10BF" w:rsidP="00BC10BF">
      <w:pPr>
        <w:spacing w:before="120" w:after="240"/>
        <w:ind w:right="1983"/>
        <w:jc w:val="both"/>
        <w:rPr>
          <w:lang w:val="fr-FR"/>
        </w:rPr>
      </w:pPr>
      <w:r w:rsidRPr="00452574">
        <w:rPr>
          <w:lang w:val="fr-FR"/>
        </w:rPr>
        <w:t xml:space="preserve">TGW met en place, comme toujours, des postes de travail ergonomiques </w:t>
      </w:r>
      <w:r>
        <w:rPr>
          <w:lang w:val="fr-FR"/>
        </w:rPr>
        <w:t xml:space="preserve">qui permettent </w:t>
      </w:r>
      <w:r w:rsidRPr="00452574">
        <w:rPr>
          <w:lang w:val="fr-FR"/>
        </w:rPr>
        <w:t xml:space="preserve">aux opérateurs le confort de leurs conditions de travail </w:t>
      </w:r>
      <w:r>
        <w:rPr>
          <w:lang w:val="fr-FR"/>
        </w:rPr>
        <w:t>tout en assurant une productivité optimale</w:t>
      </w:r>
      <w:r w:rsidRPr="00452574">
        <w:rPr>
          <w:lang w:val="fr-FR"/>
        </w:rPr>
        <w:t>.</w:t>
      </w:r>
    </w:p>
    <w:p w14:paraId="161F553F" w14:textId="45D0DFA6" w:rsidR="00CE3F0D" w:rsidRPr="0010443D" w:rsidRDefault="00BC10BF" w:rsidP="00BC10BF">
      <w:pPr>
        <w:spacing w:before="120" w:after="240"/>
        <w:ind w:right="1983"/>
        <w:rPr>
          <w:lang w:val="en-GB"/>
        </w:rPr>
      </w:pPr>
      <w:r w:rsidRPr="00452574">
        <w:rPr>
          <w:lang w:val="fr-FR"/>
        </w:rPr>
        <w:t xml:space="preserve">Markus Augeneder, Directeur Général de TGW </w:t>
      </w:r>
      <w:proofErr w:type="spellStart"/>
      <w:r w:rsidRPr="00452574">
        <w:rPr>
          <w:lang w:val="fr-FR"/>
        </w:rPr>
        <w:t>Systems</w:t>
      </w:r>
      <w:proofErr w:type="spellEnd"/>
      <w:r w:rsidRPr="00452574">
        <w:rPr>
          <w:lang w:val="fr-FR"/>
        </w:rPr>
        <w:t xml:space="preserve"> </w:t>
      </w:r>
      <w:proofErr w:type="spellStart"/>
      <w:r w:rsidRPr="00452574">
        <w:rPr>
          <w:lang w:val="fr-FR"/>
        </w:rPr>
        <w:t>Integration</w:t>
      </w:r>
      <w:proofErr w:type="spellEnd"/>
      <w:r w:rsidRPr="00452574">
        <w:rPr>
          <w:lang w:val="fr-FR"/>
        </w:rPr>
        <w:t xml:space="preserve">, se réjouit du projet Triumph: „Nous avons créé </w:t>
      </w:r>
      <w:r>
        <w:rPr>
          <w:lang w:val="fr-FR"/>
        </w:rPr>
        <w:t xml:space="preserve">une solution </w:t>
      </w:r>
      <w:r w:rsidRPr="00452574">
        <w:rPr>
          <w:lang w:val="fr-FR"/>
        </w:rPr>
        <w:t xml:space="preserve">avec Triumph </w:t>
      </w:r>
      <w:r>
        <w:rPr>
          <w:lang w:val="fr-FR"/>
        </w:rPr>
        <w:t xml:space="preserve">qui permet une extension </w:t>
      </w:r>
      <w:r w:rsidRPr="00452574">
        <w:rPr>
          <w:lang w:val="fr-FR"/>
        </w:rPr>
        <w:t>optimal</w:t>
      </w:r>
      <w:r>
        <w:rPr>
          <w:lang w:val="fr-FR"/>
        </w:rPr>
        <w:t>e</w:t>
      </w:r>
      <w:r w:rsidRPr="00452574">
        <w:rPr>
          <w:lang w:val="fr-FR"/>
        </w:rPr>
        <w:t xml:space="preserve"> </w:t>
      </w:r>
      <w:r>
        <w:rPr>
          <w:lang w:val="fr-FR"/>
        </w:rPr>
        <w:t>de l’installation existante</w:t>
      </w:r>
      <w:r w:rsidRPr="00452574">
        <w:rPr>
          <w:lang w:val="fr-FR"/>
        </w:rPr>
        <w:t xml:space="preserve">. </w:t>
      </w:r>
      <w:r w:rsidRPr="00794436">
        <w:rPr>
          <w:lang w:val="fr-FR"/>
        </w:rPr>
        <w:t>Ainsi les z</w:t>
      </w:r>
      <w:r>
        <w:rPr>
          <w:lang w:val="fr-FR"/>
        </w:rPr>
        <w:t xml:space="preserve">ones existantes vont </w:t>
      </w:r>
      <w:r>
        <w:rPr>
          <w:lang w:val="fr-FR"/>
        </w:rPr>
        <w:lastRenderedPageBreak/>
        <w:t>continuer de fonctionner</w:t>
      </w:r>
      <w:r w:rsidRPr="00794436">
        <w:rPr>
          <w:lang w:val="fr-FR"/>
        </w:rPr>
        <w:t xml:space="preserve"> </w:t>
      </w:r>
      <w:r>
        <w:rPr>
          <w:lang w:val="fr-FR"/>
        </w:rPr>
        <w:t xml:space="preserve">tandis que </w:t>
      </w:r>
      <w:r w:rsidRPr="00794436">
        <w:rPr>
          <w:lang w:val="fr-FR"/>
        </w:rPr>
        <w:t>les nouvelles t</w:t>
      </w:r>
      <w:r>
        <w:rPr>
          <w:lang w:val="fr-FR"/>
        </w:rPr>
        <w:t>echnologies complèteront le système</w:t>
      </w:r>
      <w:r w:rsidRPr="00794436">
        <w:rPr>
          <w:lang w:val="fr-FR"/>
        </w:rPr>
        <w:t xml:space="preserve">. Nous sommes ravis que Triumph nous ait </w:t>
      </w:r>
      <w:r>
        <w:rPr>
          <w:lang w:val="fr-FR"/>
        </w:rPr>
        <w:t>choisis pour</w:t>
      </w:r>
      <w:r w:rsidRPr="00794436">
        <w:rPr>
          <w:lang w:val="fr-FR"/>
        </w:rPr>
        <w:t xml:space="preserve"> la réalisation de ce projet stratégique</w:t>
      </w:r>
      <w:r>
        <w:rPr>
          <w:lang w:val="fr-FR"/>
        </w:rPr>
        <w:t xml:space="preserve"> et fasse confiance à nos experts</w:t>
      </w:r>
      <w:r w:rsidRPr="00794436">
        <w:rPr>
          <w:lang w:val="fr-FR"/>
        </w:rPr>
        <w:t>.</w:t>
      </w:r>
      <w:r w:rsidR="00632472">
        <w:rPr>
          <w:lang w:val="en-GB"/>
        </w:rPr>
        <w:t>”</w:t>
      </w:r>
    </w:p>
    <w:p w14:paraId="4B15FF25" w14:textId="77777777" w:rsidR="00CE3F0D" w:rsidRPr="0010443D" w:rsidRDefault="00CE3F0D" w:rsidP="00CE3F0D">
      <w:pPr>
        <w:spacing w:before="120" w:after="240"/>
        <w:ind w:right="1983"/>
        <w:rPr>
          <w:lang w:val="en-GB"/>
        </w:rPr>
      </w:pPr>
    </w:p>
    <w:p w14:paraId="2AACB4B4" w14:textId="77777777" w:rsidR="00AD422D" w:rsidRPr="00632472" w:rsidRDefault="00FE71F5" w:rsidP="00AD422D">
      <w:pPr>
        <w:spacing w:before="240" w:after="120"/>
        <w:ind w:right="1837"/>
        <w:rPr>
          <w:lang w:val="en-GB"/>
        </w:rPr>
      </w:pPr>
      <w:hyperlink r:id="rId8" w:history="1">
        <w:r w:rsidR="00134793" w:rsidRPr="0010443D">
          <w:rPr>
            <w:rStyle w:val="Hyperlink"/>
            <w:color w:val="auto"/>
            <w:lang w:val="en-GB"/>
          </w:rPr>
          <w:t>www.tgw-group.com</w:t>
        </w:r>
      </w:hyperlink>
    </w:p>
    <w:p w14:paraId="5D4662FC" w14:textId="77777777" w:rsidR="002F3D18" w:rsidRPr="00632472" w:rsidRDefault="002F3D18" w:rsidP="004C1432">
      <w:pPr>
        <w:spacing w:before="240" w:after="120"/>
        <w:ind w:right="1837"/>
        <w:rPr>
          <w:b/>
          <w:lang w:val="en-GB"/>
        </w:rPr>
      </w:pPr>
    </w:p>
    <w:p w14:paraId="2130AC9C" w14:textId="77777777" w:rsidR="00BC10BF" w:rsidRDefault="00BC10BF" w:rsidP="004C1432">
      <w:pPr>
        <w:spacing w:before="240" w:after="120"/>
        <w:ind w:right="1837"/>
        <w:rPr>
          <w:b/>
          <w:lang w:val="fr-FR"/>
        </w:rPr>
      </w:pPr>
      <w:r w:rsidRPr="00413CDA">
        <w:rPr>
          <w:b/>
          <w:lang w:val="fr-FR"/>
        </w:rPr>
        <w:t>Qui sommes-nous ?</w:t>
      </w:r>
    </w:p>
    <w:p w14:paraId="6E8D6B77" w14:textId="2275B30B" w:rsidR="004C1432" w:rsidRPr="0010443D" w:rsidRDefault="00BC10BF" w:rsidP="004C1432">
      <w:pPr>
        <w:spacing w:before="240" w:after="120"/>
        <w:ind w:right="1837"/>
        <w:rPr>
          <w:lang w:val="en-GB"/>
        </w:rPr>
      </w:pPr>
      <w:r w:rsidRPr="00084931">
        <w:rPr>
          <w:rFonts w:eastAsia="Times New Roman" w:cs="Arial"/>
          <w:szCs w:val="20"/>
          <w:lang w:val="fr-FR"/>
        </w:rPr>
        <w:t xml:space="preserve">TGW Logistics Group est l'un des principaux </w:t>
      </w:r>
      <w:r w:rsidRPr="00413CDA">
        <w:rPr>
          <w:rFonts w:eastAsia="Times New Roman" w:cs="Arial"/>
          <w:szCs w:val="20"/>
          <w:lang w:val="fr-FR"/>
        </w:rPr>
        <w:t>fournisseurs</w:t>
      </w:r>
      <w:r w:rsidRPr="00084931">
        <w:rPr>
          <w:rFonts w:eastAsia="Times New Roman" w:cs="Arial"/>
          <w:szCs w:val="20"/>
          <w:lang w:val="fr-FR"/>
        </w:rPr>
        <w:t xml:space="preserve"> mondiaux de solutions </w:t>
      </w:r>
      <w:proofErr w:type="spellStart"/>
      <w:r w:rsidRPr="00084931">
        <w:rPr>
          <w:rFonts w:eastAsia="Times New Roman" w:cs="Arial"/>
          <w:szCs w:val="20"/>
          <w:lang w:val="fr-FR"/>
        </w:rPr>
        <w:t>intralogistiques</w:t>
      </w:r>
      <w:proofErr w:type="spellEnd"/>
      <w:r w:rsidRPr="00084931">
        <w:rPr>
          <w:rFonts w:eastAsia="Times New Roman" w:cs="Arial"/>
          <w:szCs w:val="20"/>
          <w:lang w:val="fr-FR"/>
        </w:rPr>
        <w:t xml:space="preserve"> hautement dynamiques, automatisées et clés en mains. Depuis 1969, </w:t>
      </w:r>
      <w:r w:rsidRPr="00413CDA">
        <w:rPr>
          <w:rFonts w:eastAsia="Times New Roman" w:cs="Arial"/>
          <w:szCs w:val="20"/>
          <w:lang w:val="fr-FR"/>
        </w:rPr>
        <w:t>TGW met</w:t>
      </w:r>
      <w:r w:rsidRPr="00084931">
        <w:rPr>
          <w:rFonts w:eastAsia="Times New Roman" w:cs="Arial"/>
          <w:szCs w:val="20"/>
          <w:lang w:val="fr-FR"/>
        </w:rPr>
        <w:t xml:space="preserve"> en œuvre dans le monde entier une gamme diversifiée de solutions de logistique interne sur mesure, </w:t>
      </w:r>
      <w:r w:rsidRPr="00413CDA">
        <w:rPr>
          <w:rFonts w:eastAsia="Times New Roman" w:cs="Arial"/>
          <w:szCs w:val="20"/>
          <w:lang w:val="fr-FR"/>
        </w:rPr>
        <w:t>allant d’</w:t>
      </w:r>
      <w:r w:rsidRPr="00084931">
        <w:rPr>
          <w:rFonts w:eastAsia="Times New Roman" w:cs="Arial"/>
          <w:szCs w:val="20"/>
          <w:lang w:val="fr-FR"/>
        </w:rPr>
        <w:t>applications de manutention de petit matériel aux centres logistiques complexes. Avec près de 2 800 employés dans le monde, le groupe déploie des solutions logistiques pour de grandes entreprises de secteurs d'activité divers. Au cours de l'exercice 2016/2017, TGW Logistics Group a enregistré un chiffre d'affaires de 621 millions d'euros</w:t>
      </w:r>
      <w:r w:rsidR="00810CFF" w:rsidRPr="0010443D">
        <w:rPr>
          <w:lang w:val="en-GB"/>
        </w:rPr>
        <w:t>.</w:t>
      </w:r>
    </w:p>
    <w:p w14:paraId="4260B735" w14:textId="77777777" w:rsidR="004C1432" w:rsidRPr="00FE71F5" w:rsidRDefault="004C1432" w:rsidP="004C1432">
      <w:pPr>
        <w:spacing w:before="240" w:after="120"/>
        <w:ind w:right="1837"/>
        <w:rPr>
          <w:b/>
          <w:lang w:val="fr-FR"/>
        </w:rPr>
      </w:pPr>
    </w:p>
    <w:p w14:paraId="2E08D4A7" w14:textId="565E597A" w:rsidR="00FE71F5" w:rsidRPr="00FE71F5" w:rsidRDefault="00FE71F5" w:rsidP="00FE71F5">
      <w:pPr>
        <w:spacing w:before="240" w:after="120"/>
        <w:ind w:right="1837"/>
        <w:rPr>
          <w:b/>
          <w:lang w:val="fr-FR"/>
        </w:rPr>
      </w:pPr>
      <w:r>
        <w:rPr>
          <w:b/>
          <w:lang w:val="fr-FR"/>
        </w:rPr>
        <w:t>Images / photos</w:t>
      </w:r>
      <w:r w:rsidRPr="00FE71F5">
        <w:rPr>
          <w:b/>
          <w:lang w:val="fr-FR"/>
        </w:rPr>
        <w:t>:</w:t>
      </w:r>
    </w:p>
    <w:p w14:paraId="6ABAD63C" w14:textId="18C1E450" w:rsidR="00FE71F5" w:rsidRPr="00FE71F5" w:rsidRDefault="00FE71F5" w:rsidP="00FE71F5">
      <w:pPr>
        <w:spacing w:before="240" w:after="120"/>
        <w:ind w:right="1837"/>
        <w:rPr>
          <w:rFonts w:eastAsia="Times New Roman" w:cs="Arial"/>
          <w:szCs w:val="20"/>
          <w:lang w:val="fr-FR"/>
        </w:rPr>
      </w:pPr>
      <w:r w:rsidRPr="00FE71F5">
        <w:rPr>
          <w:rFonts w:eastAsia="Times New Roman" w:cs="Arial"/>
          <w:szCs w:val="20"/>
          <w:lang w:val="fr-FR"/>
        </w:rPr>
        <w:t>La reproduction avec la mention TGW Logistics Group est gratuite</w:t>
      </w:r>
      <w:r>
        <w:rPr>
          <w:rFonts w:eastAsia="Times New Roman" w:cs="Arial"/>
          <w:szCs w:val="20"/>
          <w:lang w:val="fr-FR"/>
        </w:rPr>
        <w:t>.</w:t>
      </w:r>
      <w:r>
        <w:rPr>
          <w:rFonts w:eastAsia="Times New Roman" w:cs="Arial"/>
          <w:szCs w:val="20"/>
          <w:lang w:val="fr-FR"/>
        </w:rPr>
        <w:br/>
      </w:r>
      <w:r w:rsidRPr="00FE71F5">
        <w:rPr>
          <w:rFonts w:eastAsia="Times New Roman" w:cs="Arial"/>
          <w:szCs w:val="20"/>
          <w:lang w:val="fr-FR"/>
        </w:rPr>
        <w:t>La reproduction à des fins promotionnelles est interdite.</w:t>
      </w:r>
    </w:p>
    <w:p w14:paraId="148C1146" w14:textId="77777777" w:rsidR="004C1432" w:rsidRPr="00FE71F5" w:rsidRDefault="004C1432" w:rsidP="004C1432">
      <w:pPr>
        <w:spacing w:before="240" w:after="120"/>
        <w:ind w:right="1837"/>
        <w:rPr>
          <w:lang w:val="fr-FR"/>
        </w:rPr>
      </w:pPr>
      <w:bookmarkStart w:id="0" w:name="_GoBack"/>
      <w:bookmarkEnd w:id="0"/>
    </w:p>
    <w:p w14:paraId="5C7F66F8" w14:textId="77777777" w:rsidR="004C1432" w:rsidRPr="0010443D" w:rsidRDefault="004C1432" w:rsidP="004C1432">
      <w:pPr>
        <w:spacing w:line="240" w:lineRule="auto"/>
        <w:ind w:right="1837"/>
        <w:rPr>
          <w:b/>
          <w:lang w:val="en-GB"/>
        </w:rPr>
      </w:pPr>
      <w:r w:rsidRPr="0010443D">
        <w:rPr>
          <w:b/>
          <w:lang w:val="en-GB"/>
        </w:rPr>
        <w:t>Contact:</w:t>
      </w:r>
    </w:p>
    <w:p w14:paraId="1E9E2F4F" w14:textId="77777777" w:rsidR="004C1432" w:rsidRPr="0010443D" w:rsidRDefault="004C1432" w:rsidP="004C1432">
      <w:pPr>
        <w:spacing w:line="240" w:lineRule="auto"/>
        <w:ind w:right="1837"/>
        <w:rPr>
          <w:lang w:val="en-GB"/>
        </w:rPr>
      </w:pPr>
      <w:r w:rsidRPr="0010443D">
        <w:rPr>
          <w:lang w:val="en-GB"/>
        </w:rPr>
        <w:t>TGW Logistics Group GmbH</w:t>
      </w:r>
    </w:p>
    <w:p w14:paraId="35899CCD" w14:textId="77777777" w:rsidR="004C1432" w:rsidRPr="0010443D" w:rsidRDefault="004C1432" w:rsidP="004C1432">
      <w:pPr>
        <w:spacing w:line="240" w:lineRule="auto"/>
        <w:ind w:right="1837"/>
      </w:pPr>
      <w:r w:rsidRPr="0010443D">
        <w:t xml:space="preserve">4600 Wels, </w:t>
      </w:r>
      <w:proofErr w:type="spellStart"/>
      <w:r w:rsidRPr="0010443D">
        <w:t>Collmannstraße</w:t>
      </w:r>
      <w:proofErr w:type="spellEnd"/>
      <w:r w:rsidRPr="0010443D">
        <w:t xml:space="preserve"> 2, Austria</w:t>
      </w:r>
    </w:p>
    <w:p w14:paraId="7B5139AA" w14:textId="77777777" w:rsidR="004C1432" w:rsidRPr="0010443D" w:rsidRDefault="004C1432" w:rsidP="004C1432">
      <w:pPr>
        <w:spacing w:line="240" w:lineRule="auto"/>
        <w:ind w:right="1837"/>
      </w:pPr>
      <w:r w:rsidRPr="0010443D">
        <w:t>T: +43.7242.486-0</w:t>
      </w:r>
    </w:p>
    <w:p w14:paraId="761E1CC0" w14:textId="77777777" w:rsidR="004C1432" w:rsidRPr="0010443D" w:rsidRDefault="004C1432" w:rsidP="004C1432">
      <w:pPr>
        <w:spacing w:line="240" w:lineRule="auto"/>
        <w:ind w:right="1837"/>
      </w:pPr>
      <w:r w:rsidRPr="0010443D">
        <w:t>F: +43.7242.486-31</w:t>
      </w:r>
    </w:p>
    <w:p w14:paraId="7C41E476" w14:textId="77777777" w:rsidR="004C1432" w:rsidRPr="0010443D" w:rsidRDefault="004C1432" w:rsidP="004C1432">
      <w:pPr>
        <w:spacing w:line="240" w:lineRule="auto"/>
        <w:ind w:right="1837"/>
      </w:pPr>
      <w:proofErr w:type="spellStart"/>
      <w:r w:rsidRPr="0010443D">
        <w:t>e-mail</w:t>
      </w:r>
      <w:proofErr w:type="spellEnd"/>
      <w:r w:rsidRPr="0010443D">
        <w:t>: tgw@tgw-group.com</w:t>
      </w:r>
    </w:p>
    <w:p w14:paraId="06E686AB" w14:textId="77777777" w:rsidR="004C1432" w:rsidRPr="0010443D" w:rsidRDefault="004C1432" w:rsidP="004C1432">
      <w:pPr>
        <w:spacing w:line="240" w:lineRule="auto"/>
        <w:ind w:right="1837"/>
      </w:pPr>
    </w:p>
    <w:p w14:paraId="22F9E23F" w14:textId="77777777" w:rsidR="00D4167B" w:rsidRPr="0010443D" w:rsidRDefault="00D4167B" w:rsidP="004C1432">
      <w:pPr>
        <w:spacing w:line="240" w:lineRule="auto"/>
        <w:ind w:right="1837"/>
      </w:pPr>
    </w:p>
    <w:p w14:paraId="54C91514" w14:textId="77777777" w:rsidR="004C1432" w:rsidRPr="0010443D" w:rsidRDefault="004C1432" w:rsidP="004C1432">
      <w:pPr>
        <w:spacing w:line="240" w:lineRule="auto"/>
        <w:ind w:right="701"/>
        <w:rPr>
          <w:b/>
          <w:lang w:val="en-GB"/>
        </w:rPr>
      </w:pPr>
      <w:r w:rsidRPr="0010443D">
        <w:rPr>
          <w:b/>
          <w:lang w:val="en-GB"/>
        </w:rPr>
        <w:t>Press contact:</w:t>
      </w:r>
    </w:p>
    <w:p w14:paraId="413A7AA1" w14:textId="546ECA0C" w:rsidR="004C1432" w:rsidRPr="0010443D" w:rsidRDefault="00810CFF" w:rsidP="004C1432">
      <w:pPr>
        <w:spacing w:line="240" w:lineRule="auto"/>
        <w:ind w:right="701"/>
        <w:rPr>
          <w:lang w:val="en-GB"/>
        </w:rPr>
      </w:pPr>
      <w:r w:rsidRPr="0010443D">
        <w:rPr>
          <w:lang w:val="en-GB"/>
        </w:rPr>
        <w:t>Martin Kirchmayr</w:t>
      </w:r>
    </w:p>
    <w:p w14:paraId="7B7F4E92" w14:textId="128F6567" w:rsidR="004C1432" w:rsidRPr="0010443D" w:rsidRDefault="004C1432" w:rsidP="004C1432">
      <w:pPr>
        <w:spacing w:line="240" w:lineRule="auto"/>
        <w:ind w:right="701"/>
        <w:rPr>
          <w:lang w:val="en-GB"/>
        </w:rPr>
      </w:pPr>
      <w:r w:rsidRPr="0010443D">
        <w:rPr>
          <w:lang w:val="en-GB"/>
        </w:rPr>
        <w:t>Marketing &amp; Communication Manager</w:t>
      </w:r>
    </w:p>
    <w:p w14:paraId="5DF6404E" w14:textId="7BB91708" w:rsidR="004C1432" w:rsidRPr="0010443D" w:rsidRDefault="00810CFF" w:rsidP="004C1432">
      <w:pPr>
        <w:spacing w:line="240" w:lineRule="auto"/>
        <w:ind w:right="701"/>
      </w:pPr>
      <w:r w:rsidRPr="0010443D">
        <w:t>T: +43.(0)7242.486-1382</w:t>
      </w:r>
    </w:p>
    <w:p w14:paraId="4B0DE78C" w14:textId="77777777" w:rsidR="004C1432" w:rsidRPr="0010443D" w:rsidRDefault="004C1432" w:rsidP="004C1432">
      <w:pPr>
        <w:spacing w:line="240" w:lineRule="auto"/>
        <w:ind w:right="701"/>
      </w:pPr>
      <w:r w:rsidRPr="0010443D">
        <w:t>M: +43.664.8187423</w:t>
      </w:r>
    </w:p>
    <w:p w14:paraId="475533C2" w14:textId="527BDA96" w:rsidR="004C1432" w:rsidRPr="0010443D" w:rsidRDefault="00810CFF" w:rsidP="0077441E">
      <w:pPr>
        <w:spacing w:line="240" w:lineRule="auto"/>
        <w:ind w:right="701"/>
      </w:pPr>
      <w:r w:rsidRPr="0010443D">
        <w:t>martin.kirchmayr@tgw-group.com</w:t>
      </w:r>
    </w:p>
    <w:sectPr w:rsidR="004C1432" w:rsidRPr="0010443D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4BEE" w14:textId="77777777" w:rsidR="00934FD0" w:rsidRDefault="00934FD0" w:rsidP="00764006">
      <w:pPr>
        <w:spacing w:line="240" w:lineRule="auto"/>
      </w:pPr>
      <w:r>
        <w:separator/>
      </w:r>
    </w:p>
  </w:endnote>
  <w:endnote w:type="continuationSeparator" w:id="0">
    <w:p w14:paraId="572555EF" w14:textId="77777777" w:rsidR="00934FD0" w:rsidRDefault="00934FD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6624F29C" w14:textId="77777777" w:rsidTr="00C15D91">
      <w:tc>
        <w:tcPr>
          <w:tcW w:w="6474" w:type="dxa"/>
        </w:tcPr>
        <w:p w14:paraId="2B05B73E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5529E344" w:rsidR="007D0E42" w:rsidRPr="00252CD7" w:rsidRDefault="00C15D91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FE71F5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>
            <w:fldChar w:fldCharType="begin"/>
          </w:r>
          <w:r>
            <w:rPr>
              <w:noProof/>
              <w:sz w:val="16"/>
            </w:rPr>
            <w:instrText xml:space="preserve"> NUMPAGES   \* MERGEFORMAT </w:instrText>
          </w:r>
          <w:r>
            <w:fldChar w:fldCharType="separate"/>
          </w:r>
          <w:r w:rsidR="00FE71F5">
            <w:rPr>
              <w:noProof/>
              <w:sz w:val="16"/>
            </w:rPr>
            <w:t>2</w:t>
          </w:r>
          <w:r>
            <w:fldChar w:fldCharType="end"/>
          </w:r>
        </w:p>
      </w:tc>
    </w:tr>
  </w:tbl>
  <w:p w14:paraId="327C2962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F4656" w14:textId="77777777" w:rsidR="00934FD0" w:rsidRDefault="00934FD0" w:rsidP="00764006">
      <w:pPr>
        <w:spacing w:line="240" w:lineRule="auto"/>
      </w:pPr>
      <w:r>
        <w:separator/>
      </w:r>
    </w:p>
  </w:footnote>
  <w:footnote w:type="continuationSeparator" w:id="0">
    <w:p w14:paraId="600288BC" w14:textId="77777777" w:rsidR="00934FD0" w:rsidRDefault="00934FD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D697" w14:textId="77777777" w:rsidR="003A2448" w:rsidRDefault="003A2448" w:rsidP="00764006">
    <w:pPr>
      <w:pStyle w:val="Kopfzeile"/>
      <w:jc w:val="right"/>
    </w:pPr>
    <w:r>
      <w:br/>
    </w:r>
  </w:p>
  <w:p w14:paraId="39F41A20" w14:textId="3F0E6AF3" w:rsidR="00764006" w:rsidRPr="00C15D91" w:rsidRDefault="00764006" w:rsidP="00C00CC7">
    <w:pPr>
      <w:pStyle w:val="Dokumententitel"/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0BF">
      <w:t>Article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5F8"/>
    <w:rsid w:val="000303FD"/>
    <w:rsid w:val="000358A8"/>
    <w:rsid w:val="0006348C"/>
    <w:rsid w:val="00064DC5"/>
    <w:rsid w:val="0006732E"/>
    <w:rsid w:val="00073B06"/>
    <w:rsid w:val="000A0230"/>
    <w:rsid w:val="000A490F"/>
    <w:rsid w:val="000E286C"/>
    <w:rsid w:val="000F7C7A"/>
    <w:rsid w:val="000F7D85"/>
    <w:rsid w:val="00100379"/>
    <w:rsid w:val="00102B91"/>
    <w:rsid w:val="0010443D"/>
    <w:rsid w:val="00125EC7"/>
    <w:rsid w:val="00134793"/>
    <w:rsid w:val="00152BD4"/>
    <w:rsid w:val="00167B5E"/>
    <w:rsid w:val="0017018E"/>
    <w:rsid w:val="001708E2"/>
    <w:rsid w:val="0017676D"/>
    <w:rsid w:val="0017755C"/>
    <w:rsid w:val="00181531"/>
    <w:rsid w:val="00183096"/>
    <w:rsid w:val="00193DF6"/>
    <w:rsid w:val="001A6670"/>
    <w:rsid w:val="001B3E4D"/>
    <w:rsid w:val="001C2FB5"/>
    <w:rsid w:val="001D0F95"/>
    <w:rsid w:val="001E7058"/>
    <w:rsid w:val="001F5208"/>
    <w:rsid w:val="001F70A5"/>
    <w:rsid w:val="0022263C"/>
    <w:rsid w:val="00222B47"/>
    <w:rsid w:val="00252CD7"/>
    <w:rsid w:val="00254AE1"/>
    <w:rsid w:val="0025635E"/>
    <w:rsid w:val="0026487A"/>
    <w:rsid w:val="00271F96"/>
    <w:rsid w:val="00277AF6"/>
    <w:rsid w:val="00286924"/>
    <w:rsid w:val="00292EE3"/>
    <w:rsid w:val="002A0083"/>
    <w:rsid w:val="002B323D"/>
    <w:rsid w:val="002B70FC"/>
    <w:rsid w:val="002C3AE4"/>
    <w:rsid w:val="002C75A1"/>
    <w:rsid w:val="002D1A50"/>
    <w:rsid w:val="002E621E"/>
    <w:rsid w:val="002F3D18"/>
    <w:rsid w:val="003004E1"/>
    <w:rsid w:val="00307422"/>
    <w:rsid w:val="00313DD9"/>
    <w:rsid w:val="00315460"/>
    <w:rsid w:val="003170E8"/>
    <w:rsid w:val="00356DAA"/>
    <w:rsid w:val="003572A1"/>
    <w:rsid w:val="00373DA4"/>
    <w:rsid w:val="003A0064"/>
    <w:rsid w:val="003A2448"/>
    <w:rsid w:val="003A5294"/>
    <w:rsid w:val="003B0DEC"/>
    <w:rsid w:val="003B6B43"/>
    <w:rsid w:val="003E39D6"/>
    <w:rsid w:val="004504BF"/>
    <w:rsid w:val="00450B34"/>
    <w:rsid w:val="00452B1B"/>
    <w:rsid w:val="00454D03"/>
    <w:rsid w:val="00460E17"/>
    <w:rsid w:val="004700C3"/>
    <w:rsid w:val="00470B0F"/>
    <w:rsid w:val="004723D9"/>
    <w:rsid w:val="004775E0"/>
    <w:rsid w:val="00490A55"/>
    <w:rsid w:val="004B32AF"/>
    <w:rsid w:val="004C1432"/>
    <w:rsid w:val="004D7BB5"/>
    <w:rsid w:val="004F72B7"/>
    <w:rsid w:val="005219FF"/>
    <w:rsid w:val="005278C0"/>
    <w:rsid w:val="00532EC1"/>
    <w:rsid w:val="0054039D"/>
    <w:rsid w:val="00552AF7"/>
    <w:rsid w:val="00561079"/>
    <w:rsid w:val="005624A7"/>
    <w:rsid w:val="00587E73"/>
    <w:rsid w:val="005A378B"/>
    <w:rsid w:val="005A79BA"/>
    <w:rsid w:val="005B517D"/>
    <w:rsid w:val="005C1621"/>
    <w:rsid w:val="005D34B9"/>
    <w:rsid w:val="005E6A1D"/>
    <w:rsid w:val="005F0F21"/>
    <w:rsid w:val="00600225"/>
    <w:rsid w:val="00602AC3"/>
    <w:rsid w:val="0060432C"/>
    <w:rsid w:val="006118EE"/>
    <w:rsid w:val="006157D6"/>
    <w:rsid w:val="006225BA"/>
    <w:rsid w:val="0062356F"/>
    <w:rsid w:val="00624B52"/>
    <w:rsid w:val="00625B24"/>
    <w:rsid w:val="0062687F"/>
    <w:rsid w:val="00632472"/>
    <w:rsid w:val="00636E6E"/>
    <w:rsid w:val="006560F7"/>
    <w:rsid w:val="0067046F"/>
    <w:rsid w:val="006C7F31"/>
    <w:rsid w:val="006E786A"/>
    <w:rsid w:val="00703DEF"/>
    <w:rsid w:val="00714973"/>
    <w:rsid w:val="007502BB"/>
    <w:rsid w:val="00757E0A"/>
    <w:rsid w:val="00764006"/>
    <w:rsid w:val="0077441E"/>
    <w:rsid w:val="007848CF"/>
    <w:rsid w:val="0079196A"/>
    <w:rsid w:val="00791EC3"/>
    <w:rsid w:val="0079683C"/>
    <w:rsid w:val="007B5207"/>
    <w:rsid w:val="007D0E42"/>
    <w:rsid w:val="007E33BD"/>
    <w:rsid w:val="007F47DB"/>
    <w:rsid w:val="00810CFF"/>
    <w:rsid w:val="008342EA"/>
    <w:rsid w:val="008439CD"/>
    <w:rsid w:val="008471D1"/>
    <w:rsid w:val="00855864"/>
    <w:rsid w:val="00865F37"/>
    <w:rsid w:val="00880D92"/>
    <w:rsid w:val="00881B02"/>
    <w:rsid w:val="008824D3"/>
    <w:rsid w:val="008C2085"/>
    <w:rsid w:val="008C62E5"/>
    <w:rsid w:val="008E1BFC"/>
    <w:rsid w:val="00900F4D"/>
    <w:rsid w:val="00911110"/>
    <w:rsid w:val="009262ED"/>
    <w:rsid w:val="00930970"/>
    <w:rsid w:val="00934FD0"/>
    <w:rsid w:val="00953D37"/>
    <w:rsid w:val="009652D8"/>
    <w:rsid w:val="00965826"/>
    <w:rsid w:val="00970DC3"/>
    <w:rsid w:val="00983B50"/>
    <w:rsid w:val="009860EB"/>
    <w:rsid w:val="00992E31"/>
    <w:rsid w:val="0099409F"/>
    <w:rsid w:val="00996B03"/>
    <w:rsid w:val="009A35C6"/>
    <w:rsid w:val="009C5EAD"/>
    <w:rsid w:val="009C78DB"/>
    <w:rsid w:val="009D14C2"/>
    <w:rsid w:val="009F7BA4"/>
    <w:rsid w:val="00A06152"/>
    <w:rsid w:val="00A06F83"/>
    <w:rsid w:val="00A10D9F"/>
    <w:rsid w:val="00A25CF4"/>
    <w:rsid w:val="00A30303"/>
    <w:rsid w:val="00A34681"/>
    <w:rsid w:val="00A41121"/>
    <w:rsid w:val="00A4272F"/>
    <w:rsid w:val="00A526D6"/>
    <w:rsid w:val="00A52A37"/>
    <w:rsid w:val="00A65137"/>
    <w:rsid w:val="00A750FB"/>
    <w:rsid w:val="00A81890"/>
    <w:rsid w:val="00AC2F90"/>
    <w:rsid w:val="00AC323A"/>
    <w:rsid w:val="00AD3796"/>
    <w:rsid w:val="00AD422D"/>
    <w:rsid w:val="00B03B65"/>
    <w:rsid w:val="00B10DA6"/>
    <w:rsid w:val="00B13C46"/>
    <w:rsid w:val="00B365DD"/>
    <w:rsid w:val="00B414C3"/>
    <w:rsid w:val="00B422A2"/>
    <w:rsid w:val="00B446B3"/>
    <w:rsid w:val="00B51E11"/>
    <w:rsid w:val="00B5267B"/>
    <w:rsid w:val="00B56A9C"/>
    <w:rsid w:val="00B57085"/>
    <w:rsid w:val="00B57511"/>
    <w:rsid w:val="00B63D2F"/>
    <w:rsid w:val="00B80C77"/>
    <w:rsid w:val="00B81268"/>
    <w:rsid w:val="00BC10BF"/>
    <w:rsid w:val="00BD07AA"/>
    <w:rsid w:val="00BD5A2A"/>
    <w:rsid w:val="00BF05C4"/>
    <w:rsid w:val="00BF7FE7"/>
    <w:rsid w:val="00C001F7"/>
    <w:rsid w:val="00C00CC7"/>
    <w:rsid w:val="00C15D91"/>
    <w:rsid w:val="00C36CA3"/>
    <w:rsid w:val="00C4134D"/>
    <w:rsid w:val="00CA034C"/>
    <w:rsid w:val="00CA3747"/>
    <w:rsid w:val="00CB569D"/>
    <w:rsid w:val="00CB6F3D"/>
    <w:rsid w:val="00CC55C1"/>
    <w:rsid w:val="00CE3F0D"/>
    <w:rsid w:val="00D01B62"/>
    <w:rsid w:val="00D03E62"/>
    <w:rsid w:val="00D06B7D"/>
    <w:rsid w:val="00D17FF2"/>
    <w:rsid w:val="00D37502"/>
    <w:rsid w:val="00D4167B"/>
    <w:rsid w:val="00D55EDC"/>
    <w:rsid w:val="00D619B3"/>
    <w:rsid w:val="00D65D40"/>
    <w:rsid w:val="00D70202"/>
    <w:rsid w:val="00D71D18"/>
    <w:rsid w:val="00D8711F"/>
    <w:rsid w:val="00D8757B"/>
    <w:rsid w:val="00D90DAC"/>
    <w:rsid w:val="00DA5B1B"/>
    <w:rsid w:val="00DB5875"/>
    <w:rsid w:val="00DD2CB5"/>
    <w:rsid w:val="00DD417D"/>
    <w:rsid w:val="00DD7D1E"/>
    <w:rsid w:val="00E131CE"/>
    <w:rsid w:val="00E21CBA"/>
    <w:rsid w:val="00E21D57"/>
    <w:rsid w:val="00E264FE"/>
    <w:rsid w:val="00E27B0F"/>
    <w:rsid w:val="00E465CD"/>
    <w:rsid w:val="00E5322C"/>
    <w:rsid w:val="00E55CEF"/>
    <w:rsid w:val="00E62F56"/>
    <w:rsid w:val="00E77A32"/>
    <w:rsid w:val="00E85656"/>
    <w:rsid w:val="00EA50A1"/>
    <w:rsid w:val="00EC3B7D"/>
    <w:rsid w:val="00ED3142"/>
    <w:rsid w:val="00ED707A"/>
    <w:rsid w:val="00EE4F38"/>
    <w:rsid w:val="00EF4B3B"/>
    <w:rsid w:val="00F16BF1"/>
    <w:rsid w:val="00F20583"/>
    <w:rsid w:val="00F40AA5"/>
    <w:rsid w:val="00F60437"/>
    <w:rsid w:val="00F609CC"/>
    <w:rsid w:val="00F6247B"/>
    <w:rsid w:val="00FA5EB3"/>
    <w:rsid w:val="00FE00F8"/>
    <w:rsid w:val="00FE2E8B"/>
    <w:rsid w:val="00FE44DF"/>
    <w:rsid w:val="00FE71F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373CF9"/>
  <w15:docId w15:val="{05A05C06-863F-4D1A-8D24-BC0728B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2242-E483-49D7-9A3B-051E9676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Weilharter Lisa</cp:lastModifiedBy>
  <cp:revision>2</cp:revision>
  <cp:lastPrinted>2015-06-02T08:02:00Z</cp:lastPrinted>
  <dcterms:created xsi:type="dcterms:W3CDTF">2018-04-26T12:28:00Z</dcterms:created>
  <dcterms:modified xsi:type="dcterms:W3CDTF">2018-04-26T12:28:00Z</dcterms:modified>
</cp:coreProperties>
</file>