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DC1" w:rsidRPr="00191518" w:rsidRDefault="00F02DC1" w:rsidP="00F02DC1">
      <w:pPr>
        <w:spacing w:before="120" w:after="240"/>
        <w:ind w:right="1985"/>
        <w:rPr>
          <w:b/>
          <w:sz w:val="32"/>
          <w:szCs w:val="32"/>
          <w:lang w:val="en-GB"/>
        </w:rPr>
      </w:pPr>
      <w:r w:rsidRPr="00191518">
        <w:rPr>
          <w:b/>
          <w:sz w:val="32"/>
          <w:szCs w:val="32"/>
          <w:lang w:val="en-GB"/>
        </w:rPr>
        <w:t xml:space="preserve">TGW Logistics Group reinforces Benelux team </w:t>
      </w:r>
    </w:p>
    <w:p w:rsidR="00F02DC1" w:rsidRPr="00191518" w:rsidRDefault="00F02DC1" w:rsidP="00F02DC1">
      <w:pPr>
        <w:spacing w:before="120" w:after="240"/>
        <w:ind w:right="1985"/>
        <w:rPr>
          <w:b/>
          <w:sz w:val="24"/>
          <w:szCs w:val="24"/>
          <w:lang w:val="en-GB"/>
        </w:rPr>
      </w:pPr>
      <w:r w:rsidRPr="00191518">
        <w:rPr>
          <w:b/>
          <w:sz w:val="24"/>
          <w:szCs w:val="24"/>
          <w:lang w:val="en-GB"/>
        </w:rPr>
        <w:t>Growth is in line with international success</w:t>
      </w:r>
    </w:p>
    <w:p w:rsidR="00F02DC1" w:rsidRPr="00191518" w:rsidRDefault="00F02DC1" w:rsidP="00F02DC1">
      <w:pPr>
        <w:spacing w:before="120" w:after="240"/>
        <w:ind w:right="1985"/>
        <w:rPr>
          <w:lang w:val="en-GB"/>
        </w:rPr>
      </w:pPr>
      <w:r w:rsidRPr="00191518">
        <w:rPr>
          <w:lang w:val="en-GB"/>
        </w:rPr>
        <w:t>TGW Logistics Group, global market leader in dynamic and automated logistics solutions for warehousing, production, order-picking and distribution, is reinforcing its Benelux team by appointing Bas Ravestein and Walter Etienne. These new recruits will support the strong growth of TGW in th</w:t>
      </w:r>
      <w:r>
        <w:rPr>
          <w:lang w:val="en-GB"/>
        </w:rPr>
        <w:t>e</w:t>
      </w:r>
      <w:r w:rsidRPr="00191518">
        <w:rPr>
          <w:lang w:val="en-GB"/>
        </w:rPr>
        <w:t xml:space="preserve"> region. </w:t>
      </w:r>
    </w:p>
    <w:p w:rsidR="00F02DC1" w:rsidRPr="00191518" w:rsidRDefault="00F02DC1" w:rsidP="00F02DC1">
      <w:pPr>
        <w:spacing w:before="120" w:after="240"/>
        <w:ind w:right="1985"/>
        <w:rPr>
          <w:lang w:val="en-GB"/>
        </w:rPr>
      </w:pPr>
      <w:r>
        <w:rPr>
          <w:lang w:val="en-GB"/>
        </w:rPr>
        <w:t>O</w:t>
      </w:r>
      <w:r w:rsidRPr="00191518">
        <w:rPr>
          <w:lang w:val="en-GB"/>
        </w:rPr>
        <w:t>ver the years</w:t>
      </w:r>
      <w:r>
        <w:rPr>
          <w:lang w:val="en-GB"/>
        </w:rPr>
        <w:t>,</w:t>
      </w:r>
      <w:r w:rsidR="00621F0C">
        <w:rPr>
          <w:lang w:val="en-GB"/>
        </w:rPr>
        <w:t xml:space="preserve"> Bas Rave</w:t>
      </w:r>
      <w:bookmarkStart w:id="0" w:name="_GoBack"/>
      <w:bookmarkEnd w:id="0"/>
      <w:r w:rsidRPr="00191518">
        <w:rPr>
          <w:lang w:val="en-GB"/>
        </w:rPr>
        <w:t xml:space="preserve">stein has accumulated </w:t>
      </w:r>
      <w:r w:rsidR="004210AC">
        <w:rPr>
          <w:lang w:val="en-GB"/>
        </w:rPr>
        <w:t xml:space="preserve">about 20 years of </w:t>
      </w:r>
      <w:r w:rsidRPr="00191518">
        <w:rPr>
          <w:lang w:val="en-GB"/>
        </w:rPr>
        <w:t xml:space="preserve">experience in the world of Logistics. He </w:t>
      </w:r>
      <w:r w:rsidR="004210AC">
        <w:rPr>
          <w:lang w:val="en-GB"/>
        </w:rPr>
        <w:t xml:space="preserve">held various positions in sales and consulting, among others at Siemens </w:t>
      </w:r>
      <w:proofErr w:type="spellStart"/>
      <w:r w:rsidR="004210AC">
        <w:rPr>
          <w:lang w:val="en-GB"/>
        </w:rPr>
        <w:t>Dematic</w:t>
      </w:r>
      <w:proofErr w:type="spellEnd"/>
      <w:r w:rsidR="004210AC">
        <w:rPr>
          <w:lang w:val="en-GB"/>
        </w:rPr>
        <w:t xml:space="preserve"> AG. </w:t>
      </w:r>
      <w:r w:rsidRPr="00191518">
        <w:rPr>
          <w:lang w:val="en-GB"/>
        </w:rPr>
        <w:t>His role at TGW Logistics Group Benelux is as Senior Design Engineer.</w:t>
      </w:r>
    </w:p>
    <w:p w:rsidR="00F02DC1" w:rsidRPr="00191518" w:rsidRDefault="00F02DC1" w:rsidP="00F02DC1">
      <w:pPr>
        <w:spacing w:before="120" w:after="240"/>
        <w:ind w:right="1985"/>
        <w:rPr>
          <w:lang w:val="en-GB"/>
        </w:rPr>
      </w:pPr>
      <w:r w:rsidRPr="00191518">
        <w:rPr>
          <w:lang w:val="en-GB"/>
        </w:rPr>
        <w:t xml:space="preserve">Walter Etienne began his career at TGW International </w:t>
      </w:r>
      <w:r w:rsidR="004210AC">
        <w:rPr>
          <w:lang w:val="en-GB"/>
        </w:rPr>
        <w:t xml:space="preserve">where he worked as a project and Site Manager for TGW Logistics Group. After his time as Logistics Systems Director at other companies, Walter Etienne returned </w:t>
      </w:r>
      <w:r w:rsidRPr="00191518">
        <w:rPr>
          <w:lang w:val="en-GB"/>
        </w:rPr>
        <w:t>to TGW Logistics Group as Senior Project Manager.</w:t>
      </w:r>
    </w:p>
    <w:p w:rsidR="00F02DC1" w:rsidRPr="00191518" w:rsidRDefault="00F02DC1" w:rsidP="00F02DC1">
      <w:pPr>
        <w:spacing w:before="120" w:after="240"/>
        <w:ind w:right="1985"/>
        <w:rPr>
          <w:lang w:val="en-GB"/>
        </w:rPr>
      </w:pPr>
      <w:r w:rsidRPr="00191518">
        <w:rPr>
          <w:lang w:val="en-GB"/>
        </w:rPr>
        <w:t>"The Benelux is experiencing growing demand for automated materials handling solutions. This is being intensified by</w:t>
      </w:r>
      <w:r>
        <w:rPr>
          <w:lang w:val="en-GB"/>
        </w:rPr>
        <w:t xml:space="preserve"> the continuing growth of the e</w:t>
      </w:r>
      <w:r w:rsidR="006827CC">
        <w:rPr>
          <w:lang w:val="en-GB"/>
        </w:rPr>
        <w:t>-</w:t>
      </w:r>
      <w:r w:rsidRPr="00191518">
        <w:rPr>
          <w:lang w:val="en-GB"/>
        </w:rPr>
        <w:t xml:space="preserve">commerce sector. </w:t>
      </w:r>
      <w:r w:rsidR="004210AC">
        <w:rPr>
          <w:lang w:val="en-GB"/>
        </w:rPr>
        <w:t>The market is growing and so are the increasing demands for automated logistics solutions in the Benelux region. We are happy to experience a growing amount of inquiries and orders s</w:t>
      </w:r>
      <w:r w:rsidRPr="00191518">
        <w:rPr>
          <w:lang w:val="en-GB"/>
        </w:rPr>
        <w:t xml:space="preserve">ince the opening of our </w:t>
      </w:r>
      <w:r w:rsidR="004210AC">
        <w:rPr>
          <w:lang w:val="en-GB"/>
        </w:rPr>
        <w:t>Benelux office a year ago</w:t>
      </w:r>
      <w:r w:rsidRPr="00191518">
        <w:rPr>
          <w:lang w:val="en-GB"/>
        </w:rPr>
        <w:t>," says Hans De Sutter, Head of Sales Benelux. "I am looking forward to further consolidating the position of TGW Logistics Group in this fiercely competitive market with both these men."</w:t>
      </w:r>
    </w:p>
    <w:p w:rsidR="00F02DC1" w:rsidRPr="00191518" w:rsidRDefault="00F02DC1" w:rsidP="00F02DC1">
      <w:pPr>
        <w:spacing w:before="120" w:after="240"/>
        <w:ind w:right="1985"/>
        <w:rPr>
          <w:lang w:val="en-GB"/>
        </w:rPr>
      </w:pPr>
      <w:r w:rsidRPr="00191518">
        <w:rPr>
          <w:lang w:val="en-GB"/>
        </w:rPr>
        <w:t>On the international front, TGW Logistics Group has had a successful year too. The Group generated turnover of 475 million euro in the 2014/2015 fiscal year, which represents growth of 28.14% in one year. In addition, the number of</w:t>
      </w:r>
      <w:r w:rsidR="006827CC">
        <w:rPr>
          <w:lang w:val="en-GB"/>
        </w:rPr>
        <w:t xml:space="preserve"> employees rose to 2,500. The Group is currently</w:t>
      </w:r>
      <w:r w:rsidRPr="00191518">
        <w:rPr>
          <w:lang w:val="en-GB"/>
        </w:rPr>
        <w:t xml:space="preserve"> looking for </w:t>
      </w:r>
      <w:r w:rsidR="006827CC">
        <w:rPr>
          <w:lang w:val="en-GB"/>
        </w:rPr>
        <w:t>about 300</w:t>
      </w:r>
      <w:r w:rsidRPr="00191518">
        <w:rPr>
          <w:lang w:val="en-GB"/>
        </w:rPr>
        <w:t xml:space="preserve"> new colleagues. </w:t>
      </w:r>
    </w:p>
    <w:p w:rsidR="00EB6C54" w:rsidRDefault="00621F0C" w:rsidP="00EB6C54">
      <w:pPr>
        <w:spacing w:before="240" w:after="120"/>
        <w:ind w:right="1837"/>
        <w:rPr>
          <w:sz w:val="22"/>
          <w:lang w:val="en-GB"/>
        </w:rPr>
      </w:pPr>
      <w:hyperlink r:id="rId9" w:history="1">
        <w:r w:rsidR="00F02DC1" w:rsidRPr="007A6DC3">
          <w:rPr>
            <w:rStyle w:val="Hyperlink"/>
            <w:sz w:val="22"/>
            <w:lang w:val="en-GB"/>
          </w:rPr>
          <w:t>www.tgw-group.com</w:t>
        </w:r>
      </w:hyperlink>
      <w:r w:rsidR="00F02DC1">
        <w:rPr>
          <w:sz w:val="22"/>
          <w:lang w:val="en-GB"/>
        </w:rPr>
        <w:t xml:space="preserve"> </w:t>
      </w:r>
    </w:p>
    <w:p w:rsidR="00F02DC1" w:rsidRDefault="00F02DC1" w:rsidP="00EB6C54">
      <w:pPr>
        <w:spacing w:before="240" w:after="120"/>
        <w:ind w:right="1837"/>
        <w:rPr>
          <w:sz w:val="22"/>
          <w:lang w:val="en-GB"/>
        </w:rPr>
      </w:pPr>
    </w:p>
    <w:p w:rsidR="003A14CA" w:rsidRDefault="003A14CA" w:rsidP="00EB6C54">
      <w:pPr>
        <w:spacing w:before="240" w:after="120"/>
        <w:ind w:right="1837"/>
        <w:rPr>
          <w:sz w:val="22"/>
          <w:lang w:val="en-GB"/>
        </w:rPr>
      </w:pPr>
    </w:p>
    <w:p w:rsidR="003A14CA" w:rsidRPr="00B92F78" w:rsidRDefault="003A14CA" w:rsidP="003A14CA">
      <w:pPr>
        <w:spacing w:before="240" w:after="120"/>
        <w:ind w:right="1837"/>
        <w:rPr>
          <w:b/>
          <w:lang w:val="en-GB"/>
        </w:rPr>
      </w:pPr>
      <w:r w:rsidRPr="00B92F78">
        <w:rPr>
          <w:b/>
          <w:lang w:val="en-GB"/>
        </w:rPr>
        <w:t>About TGW Logistics Group:</w:t>
      </w:r>
    </w:p>
    <w:p w:rsidR="003A14CA" w:rsidRPr="00B92F78" w:rsidRDefault="003A14CA" w:rsidP="003A14CA">
      <w:pPr>
        <w:spacing w:before="240" w:after="120"/>
        <w:ind w:right="1837"/>
        <w:rPr>
          <w:lang w:val="en-GB"/>
        </w:rPr>
      </w:pPr>
      <w:r w:rsidRPr="00B92F78">
        <w:rPr>
          <w:lang w:val="en-GB"/>
        </w:rPr>
        <w:lastRenderedPageBreak/>
        <w:t xml:space="preserve">TGW Logistics Group is a global leading systems provider of highly dynamic, automated and turn-key logistics solutions. Since 1969 the company has been implementing different internal logistics solutions, from small material handling applications to complex logistics centres. </w:t>
      </w:r>
    </w:p>
    <w:p w:rsidR="003A14CA" w:rsidRPr="00B92F78" w:rsidRDefault="003A14CA" w:rsidP="003A14CA">
      <w:pPr>
        <w:spacing w:before="240" w:after="120"/>
        <w:ind w:right="1837"/>
        <w:rPr>
          <w:lang w:val="en-GB"/>
        </w:rPr>
      </w:pPr>
      <w:r w:rsidRPr="00B92F78">
        <w:rPr>
          <w:lang w:val="en-GB"/>
        </w:rPr>
        <w:t>With about 2,500 employees worldwide by now, the Group implements logistics solutions for leading companies in various industries. In the business year 2014/15, the TGW Logistics Group generated sales revenues of 475 million Euros.</w:t>
      </w:r>
    </w:p>
    <w:p w:rsidR="003A14CA" w:rsidRPr="00B92F78" w:rsidRDefault="003A14CA" w:rsidP="003A14CA">
      <w:pPr>
        <w:spacing w:before="240" w:after="120"/>
        <w:ind w:right="1837"/>
        <w:rPr>
          <w:b/>
          <w:lang w:val="en-GB"/>
        </w:rPr>
      </w:pPr>
      <w:r w:rsidRPr="00B92F78">
        <w:rPr>
          <w:b/>
          <w:lang w:val="en-GB"/>
        </w:rPr>
        <w:t>Pictures:</w:t>
      </w:r>
    </w:p>
    <w:p w:rsidR="003A14CA" w:rsidRPr="00B92F78" w:rsidRDefault="003A14CA" w:rsidP="003A14CA">
      <w:pPr>
        <w:spacing w:before="240" w:after="120"/>
        <w:ind w:right="1837"/>
        <w:rPr>
          <w:lang w:val="en-GB"/>
        </w:rPr>
      </w:pPr>
      <w:r w:rsidRPr="00B92F78">
        <w:rPr>
          <w:lang w:val="en-GB"/>
        </w:rPr>
        <w:t>Reprint with reference to TGW Logistics Group GmbH free of charge. Reprint is not permitted for promotional purposes.</w:t>
      </w:r>
    </w:p>
    <w:p w:rsidR="003A14CA" w:rsidRPr="00B92F78" w:rsidRDefault="003A14CA" w:rsidP="003A14CA">
      <w:pPr>
        <w:spacing w:before="240" w:after="120"/>
        <w:ind w:right="1837"/>
        <w:rPr>
          <w:lang w:val="en-GB"/>
        </w:rPr>
      </w:pPr>
    </w:p>
    <w:p w:rsidR="003A14CA" w:rsidRPr="00B92F78" w:rsidRDefault="003A14CA" w:rsidP="003A14CA">
      <w:pPr>
        <w:spacing w:line="240" w:lineRule="auto"/>
        <w:ind w:right="1837"/>
        <w:rPr>
          <w:b/>
          <w:lang w:val="en-GB"/>
        </w:rPr>
      </w:pPr>
      <w:r w:rsidRPr="00B92F78">
        <w:rPr>
          <w:b/>
          <w:lang w:val="en-GB"/>
        </w:rPr>
        <w:t>Contact:</w:t>
      </w:r>
    </w:p>
    <w:p w:rsidR="003A14CA" w:rsidRPr="00B92F78" w:rsidRDefault="003A14CA" w:rsidP="003A14CA">
      <w:pPr>
        <w:spacing w:line="240" w:lineRule="auto"/>
        <w:ind w:right="1837"/>
        <w:rPr>
          <w:lang w:val="en-GB"/>
        </w:rPr>
      </w:pPr>
      <w:r w:rsidRPr="00B92F78">
        <w:rPr>
          <w:lang w:val="en-GB"/>
        </w:rPr>
        <w:t>TGW Logistics Group GmbH</w:t>
      </w:r>
    </w:p>
    <w:p w:rsidR="003A14CA" w:rsidRPr="00B92F78" w:rsidRDefault="003A14CA" w:rsidP="003A14CA">
      <w:pPr>
        <w:spacing w:line="240" w:lineRule="auto"/>
        <w:ind w:right="1837"/>
        <w:rPr>
          <w:lang w:val="en-GB"/>
        </w:rPr>
      </w:pPr>
      <w:r w:rsidRPr="00B92F78">
        <w:rPr>
          <w:lang w:val="en-GB"/>
        </w:rPr>
        <w:t xml:space="preserve">4600 Wels, </w:t>
      </w:r>
      <w:proofErr w:type="spellStart"/>
      <w:r w:rsidRPr="00B92F78">
        <w:rPr>
          <w:lang w:val="en-GB"/>
        </w:rPr>
        <w:t>Collmannstraße</w:t>
      </w:r>
      <w:proofErr w:type="spellEnd"/>
      <w:r w:rsidRPr="00B92F78">
        <w:rPr>
          <w:lang w:val="en-GB"/>
        </w:rPr>
        <w:t xml:space="preserve"> 2, Austria</w:t>
      </w:r>
    </w:p>
    <w:p w:rsidR="003A14CA" w:rsidRPr="003A14CA" w:rsidRDefault="003A14CA" w:rsidP="003A14CA">
      <w:pPr>
        <w:spacing w:line="240" w:lineRule="auto"/>
        <w:ind w:right="1837"/>
        <w:rPr>
          <w:lang w:val="en-GB"/>
        </w:rPr>
      </w:pPr>
      <w:r w:rsidRPr="003A14CA">
        <w:rPr>
          <w:lang w:val="en-GB"/>
        </w:rPr>
        <w:t>T: +43.7242.486-0</w:t>
      </w:r>
    </w:p>
    <w:p w:rsidR="003A14CA" w:rsidRPr="003A14CA" w:rsidRDefault="003A14CA" w:rsidP="003A14CA">
      <w:pPr>
        <w:spacing w:line="240" w:lineRule="auto"/>
        <w:ind w:right="1837"/>
        <w:rPr>
          <w:lang w:val="en-GB"/>
        </w:rPr>
      </w:pPr>
      <w:r w:rsidRPr="003A14CA">
        <w:rPr>
          <w:lang w:val="en-GB"/>
        </w:rPr>
        <w:t>F: +43.7242.486-31</w:t>
      </w:r>
    </w:p>
    <w:p w:rsidR="003A14CA" w:rsidRPr="003A14CA" w:rsidRDefault="003A14CA" w:rsidP="003A14CA">
      <w:pPr>
        <w:spacing w:line="240" w:lineRule="auto"/>
        <w:ind w:right="1837"/>
        <w:rPr>
          <w:lang w:val="en-GB"/>
        </w:rPr>
      </w:pPr>
      <w:r w:rsidRPr="003A14CA">
        <w:rPr>
          <w:lang w:val="en-GB"/>
        </w:rPr>
        <w:t>e-mail: tgw@tgw-group.com</w:t>
      </w:r>
    </w:p>
    <w:p w:rsidR="003A14CA" w:rsidRPr="003A14CA" w:rsidRDefault="003A14CA" w:rsidP="003A14CA">
      <w:pPr>
        <w:spacing w:line="240" w:lineRule="auto"/>
        <w:ind w:right="1837"/>
        <w:rPr>
          <w:lang w:val="en-GB"/>
        </w:rPr>
      </w:pPr>
    </w:p>
    <w:p w:rsidR="003A14CA" w:rsidRPr="00B92F78" w:rsidRDefault="003A14CA" w:rsidP="003A14CA">
      <w:pPr>
        <w:spacing w:line="240" w:lineRule="auto"/>
        <w:ind w:right="1837"/>
        <w:rPr>
          <w:b/>
          <w:lang w:val="en-GB"/>
        </w:rPr>
      </w:pPr>
      <w:r w:rsidRPr="00B92F78">
        <w:rPr>
          <w:b/>
          <w:lang w:val="en-GB"/>
        </w:rPr>
        <w:t>Press contact:</w:t>
      </w:r>
    </w:p>
    <w:p w:rsidR="003A14CA" w:rsidRPr="00B92F78" w:rsidRDefault="003A14CA" w:rsidP="003A14CA">
      <w:pPr>
        <w:spacing w:line="240" w:lineRule="auto"/>
        <w:ind w:right="1837"/>
        <w:rPr>
          <w:lang w:val="en-GB"/>
        </w:rPr>
      </w:pPr>
      <w:r w:rsidRPr="00B92F78">
        <w:rPr>
          <w:lang w:val="en-GB"/>
        </w:rPr>
        <w:t>Martin Kirchmayr</w:t>
      </w:r>
      <w:r w:rsidRPr="00B92F78">
        <w:rPr>
          <w:lang w:val="en-GB"/>
        </w:rPr>
        <w:tab/>
      </w:r>
      <w:r w:rsidRPr="00B92F78">
        <w:rPr>
          <w:lang w:val="en-GB"/>
        </w:rPr>
        <w:tab/>
      </w:r>
      <w:r w:rsidRPr="00B92F78">
        <w:rPr>
          <w:lang w:val="en-GB"/>
        </w:rPr>
        <w:tab/>
      </w:r>
      <w:r w:rsidRPr="00B92F78">
        <w:rPr>
          <w:lang w:val="en-GB"/>
        </w:rPr>
        <w:tab/>
        <w:t>Daniela Nowak</w:t>
      </w:r>
    </w:p>
    <w:p w:rsidR="003A14CA" w:rsidRPr="00B92F78" w:rsidRDefault="003A14CA" w:rsidP="003A14CA">
      <w:pPr>
        <w:spacing w:line="240" w:lineRule="auto"/>
        <w:ind w:right="1126"/>
        <w:rPr>
          <w:lang w:val="en-GB"/>
        </w:rPr>
      </w:pPr>
      <w:r w:rsidRPr="00B92F78">
        <w:rPr>
          <w:lang w:val="en-GB"/>
        </w:rPr>
        <w:t>Marketing &amp; Communication Manager</w:t>
      </w:r>
      <w:r w:rsidRPr="00B92F78">
        <w:rPr>
          <w:lang w:val="en-GB"/>
        </w:rPr>
        <w:tab/>
      </w:r>
      <w:r>
        <w:rPr>
          <w:lang w:val="en-GB"/>
        </w:rPr>
        <w:tab/>
      </w:r>
      <w:r w:rsidRPr="00B92F78">
        <w:rPr>
          <w:lang w:val="en-GB"/>
        </w:rPr>
        <w:t>Marketing &amp; Communication Specialist</w:t>
      </w:r>
    </w:p>
    <w:p w:rsidR="003A14CA" w:rsidRPr="00B92F78" w:rsidRDefault="003A14CA" w:rsidP="003A14CA">
      <w:pPr>
        <w:spacing w:line="240" w:lineRule="auto"/>
        <w:ind w:right="1837"/>
        <w:rPr>
          <w:lang w:val="en-GB"/>
        </w:rPr>
      </w:pPr>
      <w:r w:rsidRPr="00B92F78">
        <w:rPr>
          <w:lang w:val="en-GB"/>
        </w:rPr>
        <w:t>T: +43.(0)7242.486-1382</w:t>
      </w:r>
      <w:r w:rsidRPr="00B92F78">
        <w:rPr>
          <w:lang w:val="en-GB"/>
        </w:rPr>
        <w:tab/>
      </w:r>
      <w:r w:rsidRPr="00B92F78">
        <w:rPr>
          <w:lang w:val="en-GB"/>
        </w:rPr>
        <w:tab/>
      </w:r>
      <w:r w:rsidRPr="00B92F78">
        <w:rPr>
          <w:lang w:val="en-GB"/>
        </w:rPr>
        <w:tab/>
        <w:t>T: +43.(0)7242.486-1059</w:t>
      </w:r>
    </w:p>
    <w:p w:rsidR="003A14CA" w:rsidRPr="00B92F78" w:rsidRDefault="003A14CA" w:rsidP="003A14CA">
      <w:pPr>
        <w:spacing w:line="240" w:lineRule="auto"/>
        <w:ind w:right="1837"/>
        <w:rPr>
          <w:lang w:val="en-GB"/>
        </w:rPr>
      </w:pPr>
      <w:r w:rsidRPr="00B92F78">
        <w:rPr>
          <w:lang w:val="en-GB"/>
        </w:rPr>
        <w:t>M: +43.(0)664.8187423</w:t>
      </w:r>
    </w:p>
    <w:p w:rsidR="003A14CA" w:rsidRPr="00B92F78" w:rsidRDefault="003A14CA" w:rsidP="003A14CA">
      <w:pPr>
        <w:spacing w:line="240" w:lineRule="auto"/>
        <w:ind w:right="1837"/>
        <w:rPr>
          <w:lang w:val="en-GB"/>
        </w:rPr>
      </w:pPr>
      <w:r w:rsidRPr="00B92F78">
        <w:rPr>
          <w:lang w:val="en-GB"/>
        </w:rPr>
        <w:t>martin.kirchmayr@tgw-group.com</w:t>
      </w:r>
      <w:r w:rsidRPr="00B92F78">
        <w:rPr>
          <w:lang w:val="en-GB"/>
        </w:rPr>
        <w:tab/>
      </w:r>
      <w:r w:rsidRPr="00B92F78">
        <w:rPr>
          <w:lang w:val="en-GB"/>
        </w:rPr>
        <w:tab/>
        <w:t>daniela.nowak@tgw-group.com</w:t>
      </w:r>
    </w:p>
    <w:p w:rsidR="003A14CA" w:rsidRPr="00B92F78" w:rsidRDefault="003A14CA" w:rsidP="003A14CA">
      <w:pPr>
        <w:spacing w:line="240" w:lineRule="auto"/>
        <w:ind w:right="1837"/>
        <w:rPr>
          <w:lang w:val="en-GB"/>
        </w:rPr>
      </w:pPr>
    </w:p>
    <w:p w:rsidR="003A14CA" w:rsidRPr="00B92F78" w:rsidRDefault="003A14CA" w:rsidP="003A14CA">
      <w:pPr>
        <w:pStyle w:val="StandardWeb"/>
        <w:shd w:val="clear" w:color="auto" w:fill="FFFFFF"/>
        <w:spacing w:before="120" w:beforeAutospacing="0" w:after="240" w:afterAutospacing="0" w:line="360" w:lineRule="auto"/>
        <w:rPr>
          <w:sz w:val="20"/>
          <w:szCs w:val="22"/>
          <w:lang w:val="en-GB"/>
        </w:rPr>
      </w:pPr>
    </w:p>
    <w:p w:rsidR="0043240B" w:rsidRPr="00282ECD" w:rsidRDefault="0043240B" w:rsidP="003A14CA">
      <w:pPr>
        <w:spacing w:before="240" w:after="120"/>
        <w:ind w:right="1837"/>
        <w:rPr>
          <w:sz w:val="22"/>
          <w:lang w:val="en-GB"/>
        </w:rPr>
      </w:pPr>
    </w:p>
    <w:sectPr w:rsidR="0043240B" w:rsidRPr="00282ECD" w:rsidSect="00193DF6">
      <w:headerReference w:type="default" r:id="rId10"/>
      <w:footerReference w:type="default" r:id="rId11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8B9" w:rsidRDefault="00C448B9" w:rsidP="00764006">
      <w:pPr>
        <w:spacing w:line="240" w:lineRule="auto"/>
      </w:pPr>
      <w:r>
        <w:separator/>
      </w:r>
    </w:p>
  </w:endnote>
  <w:endnote w:type="continuationSeparator" w:id="0">
    <w:p w:rsidR="00C448B9" w:rsidRDefault="00C448B9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ZShu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D0E42" w:rsidRPr="00252CD7" w:rsidTr="00C15D91">
      <w:tc>
        <w:tcPr>
          <w:tcW w:w="6474" w:type="dxa"/>
        </w:tcPr>
        <w:p w:rsidR="007D0E42" w:rsidRPr="00252CD7" w:rsidRDefault="00252C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7D0E42" w:rsidRPr="00252CD7" w:rsidRDefault="00C15D91" w:rsidP="00020C90">
          <w:pPr>
            <w:pStyle w:val="FuzeileFirmendaten"/>
            <w:rPr>
              <w:sz w:val="16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621F0C" w:rsidRPr="00621F0C">
            <w:rPr>
              <w:noProof/>
              <w:sz w:val="16"/>
            </w:rPr>
            <w:t>1</w:t>
          </w:r>
          <w:r>
            <w:fldChar w:fldCharType="end"/>
          </w:r>
          <w:r>
            <w:rPr>
              <w:sz w:val="16"/>
            </w:rPr>
            <w:t xml:space="preserve"> / 6</w:t>
          </w:r>
        </w:p>
      </w:tc>
    </w:tr>
  </w:tbl>
  <w:p w:rsidR="00764006" w:rsidRDefault="0076400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8B9" w:rsidRDefault="00C448B9" w:rsidP="00764006">
      <w:pPr>
        <w:spacing w:line="240" w:lineRule="auto"/>
      </w:pPr>
      <w:r>
        <w:separator/>
      </w:r>
    </w:p>
  </w:footnote>
  <w:footnote w:type="continuationSeparator" w:id="0">
    <w:p w:rsidR="00C448B9" w:rsidRDefault="00C448B9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448" w:rsidRDefault="003A2448" w:rsidP="00764006">
    <w:pPr>
      <w:pStyle w:val="Kopfzeile"/>
      <w:jc w:val="right"/>
    </w:pPr>
    <w:r>
      <w:br/>
    </w:r>
  </w:p>
  <w:p w:rsidR="00764006" w:rsidRPr="00C15D91" w:rsidRDefault="00764006" w:rsidP="00C00CC7">
    <w:pPr>
      <w:pStyle w:val="Dokumententitel"/>
    </w:pPr>
    <w:r>
      <w:drawing>
        <wp:anchor distT="0" distB="0" distL="114300" distR="114300" simplePos="0" relativeHeight="251658240" behindDoc="0" locked="0" layoutInCell="1" allowOverlap="1" wp14:anchorId="1679D549" wp14:editId="5AF80E3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Release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  <w:lvlOverride w:ilvl="0">
      <w:startOverride w:val="1"/>
    </w:lvlOverride>
  </w:num>
  <w:num w:numId="3">
    <w:abstractNumId w:val="5"/>
  </w:num>
  <w:num w:numId="4">
    <w:abstractNumId w:val="12"/>
  </w:num>
  <w:num w:numId="5">
    <w:abstractNumId w:val="4"/>
  </w:num>
  <w:num w:numId="6">
    <w:abstractNumId w:val="1"/>
  </w:num>
  <w:num w:numId="7">
    <w:abstractNumId w:val="6"/>
  </w:num>
  <w:num w:numId="8">
    <w:abstractNumId w:val="3"/>
  </w:num>
  <w:num w:numId="9">
    <w:abstractNumId w:val="10"/>
  </w:num>
  <w:num w:numId="10">
    <w:abstractNumId w:val="0"/>
  </w:num>
  <w:num w:numId="11">
    <w:abstractNumId w:val="2"/>
  </w:num>
  <w:num w:numId="12">
    <w:abstractNumId w:val="8"/>
  </w:num>
  <w:num w:numId="13">
    <w:abstractNumId w:val="9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048E9"/>
    <w:rsid w:val="00020C90"/>
    <w:rsid w:val="0002337D"/>
    <w:rsid w:val="00033926"/>
    <w:rsid w:val="00065CD8"/>
    <w:rsid w:val="0006709E"/>
    <w:rsid w:val="000740E1"/>
    <w:rsid w:val="0008328C"/>
    <w:rsid w:val="00090D40"/>
    <w:rsid w:val="00094DFA"/>
    <w:rsid w:val="000A490F"/>
    <w:rsid w:val="000E779D"/>
    <w:rsid w:val="000F7D85"/>
    <w:rsid w:val="00102B91"/>
    <w:rsid w:val="00117307"/>
    <w:rsid w:val="00132861"/>
    <w:rsid w:val="00141B16"/>
    <w:rsid w:val="001606D4"/>
    <w:rsid w:val="0017018E"/>
    <w:rsid w:val="00183096"/>
    <w:rsid w:val="0018497E"/>
    <w:rsid w:val="00193DF6"/>
    <w:rsid w:val="001B0377"/>
    <w:rsid w:val="001B1C61"/>
    <w:rsid w:val="001B3B4C"/>
    <w:rsid w:val="001C1F1C"/>
    <w:rsid w:val="001C7C14"/>
    <w:rsid w:val="001D3B2A"/>
    <w:rsid w:val="001E7058"/>
    <w:rsid w:val="00213187"/>
    <w:rsid w:val="002178D9"/>
    <w:rsid w:val="00222B47"/>
    <w:rsid w:val="002316D5"/>
    <w:rsid w:val="00237FAD"/>
    <w:rsid w:val="00252CD7"/>
    <w:rsid w:val="0026487A"/>
    <w:rsid w:val="00282ECD"/>
    <w:rsid w:val="00292EE3"/>
    <w:rsid w:val="00294E36"/>
    <w:rsid w:val="002A700D"/>
    <w:rsid w:val="002B3503"/>
    <w:rsid w:val="002B4568"/>
    <w:rsid w:val="002D3F73"/>
    <w:rsid w:val="0030159E"/>
    <w:rsid w:val="003114D5"/>
    <w:rsid w:val="0032405B"/>
    <w:rsid w:val="0033228A"/>
    <w:rsid w:val="00343E7A"/>
    <w:rsid w:val="003572A1"/>
    <w:rsid w:val="003642F9"/>
    <w:rsid w:val="00365AA0"/>
    <w:rsid w:val="003820A5"/>
    <w:rsid w:val="00387427"/>
    <w:rsid w:val="003A14CA"/>
    <w:rsid w:val="003A2448"/>
    <w:rsid w:val="003C55E8"/>
    <w:rsid w:val="003D3E79"/>
    <w:rsid w:val="003D66BA"/>
    <w:rsid w:val="003E0954"/>
    <w:rsid w:val="003F04A3"/>
    <w:rsid w:val="003F195B"/>
    <w:rsid w:val="00404BB0"/>
    <w:rsid w:val="004210AC"/>
    <w:rsid w:val="00430BE8"/>
    <w:rsid w:val="00431C20"/>
    <w:rsid w:val="0043240B"/>
    <w:rsid w:val="00434234"/>
    <w:rsid w:val="00436E0D"/>
    <w:rsid w:val="00450B34"/>
    <w:rsid w:val="00455C3D"/>
    <w:rsid w:val="00470B0F"/>
    <w:rsid w:val="00487647"/>
    <w:rsid w:val="004A48A6"/>
    <w:rsid w:val="004A78EA"/>
    <w:rsid w:val="004C4506"/>
    <w:rsid w:val="004C775A"/>
    <w:rsid w:val="004E6AFB"/>
    <w:rsid w:val="004F4838"/>
    <w:rsid w:val="00500690"/>
    <w:rsid w:val="00502B61"/>
    <w:rsid w:val="00505DCA"/>
    <w:rsid w:val="005278C0"/>
    <w:rsid w:val="00543DAA"/>
    <w:rsid w:val="0055503D"/>
    <w:rsid w:val="0055542D"/>
    <w:rsid w:val="005609F6"/>
    <w:rsid w:val="005735A7"/>
    <w:rsid w:val="00593028"/>
    <w:rsid w:val="00595F90"/>
    <w:rsid w:val="005C3D17"/>
    <w:rsid w:val="005D0133"/>
    <w:rsid w:val="005D1C5D"/>
    <w:rsid w:val="005E2D7B"/>
    <w:rsid w:val="005F518B"/>
    <w:rsid w:val="00603680"/>
    <w:rsid w:val="006118EE"/>
    <w:rsid w:val="00612290"/>
    <w:rsid w:val="006162F8"/>
    <w:rsid w:val="00621F0C"/>
    <w:rsid w:val="006225BA"/>
    <w:rsid w:val="00632836"/>
    <w:rsid w:val="0064160D"/>
    <w:rsid w:val="0064588E"/>
    <w:rsid w:val="0066718E"/>
    <w:rsid w:val="00671061"/>
    <w:rsid w:val="00681D6B"/>
    <w:rsid w:val="006827CC"/>
    <w:rsid w:val="006A1418"/>
    <w:rsid w:val="006B2AE7"/>
    <w:rsid w:val="006C0300"/>
    <w:rsid w:val="006C4240"/>
    <w:rsid w:val="006D22A4"/>
    <w:rsid w:val="006E7B1A"/>
    <w:rsid w:val="006F765B"/>
    <w:rsid w:val="0070066D"/>
    <w:rsid w:val="0070259A"/>
    <w:rsid w:val="007149B0"/>
    <w:rsid w:val="00716360"/>
    <w:rsid w:val="00722485"/>
    <w:rsid w:val="00725E83"/>
    <w:rsid w:val="007502BB"/>
    <w:rsid w:val="0075117B"/>
    <w:rsid w:val="007579A7"/>
    <w:rsid w:val="00761D38"/>
    <w:rsid w:val="00764006"/>
    <w:rsid w:val="007919B7"/>
    <w:rsid w:val="00795FD3"/>
    <w:rsid w:val="007A040F"/>
    <w:rsid w:val="007A7E0E"/>
    <w:rsid w:val="007B162E"/>
    <w:rsid w:val="007B5207"/>
    <w:rsid w:val="007B5723"/>
    <w:rsid w:val="007B58F0"/>
    <w:rsid w:val="007C7155"/>
    <w:rsid w:val="007D0E42"/>
    <w:rsid w:val="007E1165"/>
    <w:rsid w:val="007E3B01"/>
    <w:rsid w:val="008116A0"/>
    <w:rsid w:val="00831203"/>
    <w:rsid w:val="00842E6F"/>
    <w:rsid w:val="00842F50"/>
    <w:rsid w:val="00851E9F"/>
    <w:rsid w:val="00865F37"/>
    <w:rsid w:val="00866BFD"/>
    <w:rsid w:val="008A118C"/>
    <w:rsid w:val="008B5405"/>
    <w:rsid w:val="008C62E5"/>
    <w:rsid w:val="008D75EB"/>
    <w:rsid w:val="008E000C"/>
    <w:rsid w:val="008E567E"/>
    <w:rsid w:val="008F7301"/>
    <w:rsid w:val="00903306"/>
    <w:rsid w:val="00911110"/>
    <w:rsid w:val="00930E95"/>
    <w:rsid w:val="0094574B"/>
    <w:rsid w:val="00951E90"/>
    <w:rsid w:val="00953D37"/>
    <w:rsid w:val="00955530"/>
    <w:rsid w:val="00955D5A"/>
    <w:rsid w:val="00980AC9"/>
    <w:rsid w:val="00993D0E"/>
    <w:rsid w:val="0099759A"/>
    <w:rsid w:val="009A1195"/>
    <w:rsid w:val="009B6AE2"/>
    <w:rsid w:val="009D0439"/>
    <w:rsid w:val="009D6810"/>
    <w:rsid w:val="009E6B79"/>
    <w:rsid w:val="00A06F55"/>
    <w:rsid w:val="00A06F83"/>
    <w:rsid w:val="00A11B97"/>
    <w:rsid w:val="00A11CDE"/>
    <w:rsid w:val="00A1371C"/>
    <w:rsid w:val="00A22FA7"/>
    <w:rsid w:val="00A25CF4"/>
    <w:rsid w:val="00A42ACF"/>
    <w:rsid w:val="00A51FDE"/>
    <w:rsid w:val="00A52A37"/>
    <w:rsid w:val="00A61A98"/>
    <w:rsid w:val="00A640E1"/>
    <w:rsid w:val="00A70ECC"/>
    <w:rsid w:val="00A72047"/>
    <w:rsid w:val="00AA69DF"/>
    <w:rsid w:val="00AC02D7"/>
    <w:rsid w:val="00AC29ED"/>
    <w:rsid w:val="00AD3796"/>
    <w:rsid w:val="00AF7D9E"/>
    <w:rsid w:val="00B02F85"/>
    <w:rsid w:val="00B03B65"/>
    <w:rsid w:val="00B121A2"/>
    <w:rsid w:val="00B14BBB"/>
    <w:rsid w:val="00B15708"/>
    <w:rsid w:val="00B244D7"/>
    <w:rsid w:val="00B273AD"/>
    <w:rsid w:val="00B378B8"/>
    <w:rsid w:val="00B422A2"/>
    <w:rsid w:val="00B56A9C"/>
    <w:rsid w:val="00B57511"/>
    <w:rsid w:val="00B77027"/>
    <w:rsid w:val="00B87B68"/>
    <w:rsid w:val="00B9250D"/>
    <w:rsid w:val="00BA00CF"/>
    <w:rsid w:val="00BA0D68"/>
    <w:rsid w:val="00BB04FF"/>
    <w:rsid w:val="00BC5D88"/>
    <w:rsid w:val="00BD4BF3"/>
    <w:rsid w:val="00BE102A"/>
    <w:rsid w:val="00BF68F0"/>
    <w:rsid w:val="00C00CC7"/>
    <w:rsid w:val="00C15D91"/>
    <w:rsid w:val="00C202C5"/>
    <w:rsid w:val="00C3722A"/>
    <w:rsid w:val="00C4025D"/>
    <w:rsid w:val="00C40B71"/>
    <w:rsid w:val="00C448B9"/>
    <w:rsid w:val="00C47105"/>
    <w:rsid w:val="00C632A9"/>
    <w:rsid w:val="00C67898"/>
    <w:rsid w:val="00C72401"/>
    <w:rsid w:val="00C87839"/>
    <w:rsid w:val="00CA1D9F"/>
    <w:rsid w:val="00CB3D74"/>
    <w:rsid w:val="00CC6F89"/>
    <w:rsid w:val="00CD1F7D"/>
    <w:rsid w:val="00CF2541"/>
    <w:rsid w:val="00CF592B"/>
    <w:rsid w:val="00D25CD8"/>
    <w:rsid w:val="00D279F1"/>
    <w:rsid w:val="00D53480"/>
    <w:rsid w:val="00D90DAC"/>
    <w:rsid w:val="00DA795B"/>
    <w:rsid w:val="00DC6486"/>
    <w:rsid w:val="00DD417D"/>
    <w:rsid w:val="00DE7196"/>
    <w:rsid w:val="00E00E41"/>
    <w:rsid w:val="00E01BDF"/>
    <w:rsid w:val="00E01F29"/>
    <w:rsid w:val="00E123A8"/>
    <w:rsid w:val="00E14C4D"/>
    <w:rsid w:val="00E15606"/>
    <w:rsid w:val="00E21CBA"/>
    <w:rsid w:val="00E21D57"/>
    <w:rsid w:val="00E220EC"/>
    <w:rsid w:val="00E32CED"/>
    <w:rsid w:val="00E437CD"/>
    <w:rsid w:val="00E5322C"/>
    <w:rsid w:val="00E57080"/>
    <w:rsid w:val="00E62C00"/>
    <w:rsid w:val="00E6501D"/>
    <w:rsid w:val="00EA06E5"/>
    <w:rsid w:val="00EA51D2"/>
    <w:rsid w:val="00EA70EF"/>
    <w:rsid w:val="00EB6C54"/>
    <w:rsid w:val="00EB742E"/>
    <w:rsid w:val="00ED14CD"/>
    <w:rsid w:val="00ED3142"/>
    <w:rsid w:val="00EE6853"/>
    <w:rsid w:val="00EF6909"/>
    <w:rsid w:val="00F02DC1"/>
    <w:rsid w:val="00F438F9"/>
    <w:rsid w:val="00F54CA0"/>
    <w:rsid w:val="00F6247B"/>
    <w:rsid w:val="00F64F36"/>
    <w:rsid w:val="00F710EF"/>
    <w:rsid w:val="00F7391E"/>
    <w:rsid w:val="00F76CFA"/>
    <w:rsid w:val="00F911E4"/>
    <w:rsid w:val="00FB7479"/>
    <w:rsid w:val="00FD15B7"/>
    <w:rsid w:val="00FD559D"/>
    <w:rsid w:val="00FE0E60"/>
    <w:rsid w:val="00FE27B4"/>
    <w:rsid w:val="00FE2E8B"/>
    <w:rsid w:val="00FE44DF"/>
    <w:rsid w:val="00FF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gw-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965F-86E6-4A00-B467-E80F3D0C8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nod</cp:lastModifiedBy>
  <cp:revision>5</cp:revision>
  <cp:lastPrinted>2015-11-04T08:50:00Z</cp:lastPrinted>
  <dcterms:created xsi:type="dcterms:W3CDTF">2016-03-07T15:04:00Z</dcterms:created>
  <dcterms:modified xsi:type="dcterms:W3CDTF">2016-03-21T10:22:00Z</dcterms:modified>
</cp:coreProperties>
</file>