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111" w:rsidRPr="001C65A9" w:rsidRDefault="00AE5111" w:rsidP="00AE5111">
      <w:pPr>
        <w:spacing w:line="360" w:lineRule="auto"/>
        <w:ind w:left="0" w:right="1843"/>
        <w:rPr>
          <w:rFonts w:cs="Arial"/>
          <w:b/>
          <w:sz w:val="24"/>
          <w:szCs w:val="24"/>
          <w:lang w:val="fr-FR"/>
        </w:rPr>
      </w:pPr>
      <w:r w:rsidRPr="001C65A9">
        <w:rPr>
          <w:rFonts w:cs="Arial"/>
          <w:b/>
          <w:sz w:val="24"/>
          <w:szCs w:val="24"/>
          <w:lang w:val="fr-FR"/>
        </w:rPr>
        <w:t xml:space="preserve">Würth Elektronik eiSos </w:t>
      </w:r>
      <w:r w:rsidR="00862B89" w:rsidRPr="001C65A9">
        <w:rPr>
          <w:rFonts w:cs="Arial"/>
          <w:b/>
          <w:sz w:val="24"/>
          <w:szCs w:val="24"/>
          <w:lang w:val="fr-FR"/>
        </w:rPr>
        <w:t>choisit</w:t>
      </w:r>
      <w:r w:rsidRPr="001C65A9">
        <w:rPr>
          <w:rFonts w:cs="Arial"/>
          <w:b/>
          <w:sz w:val="24"/>
          <w:szCs w:val="24"/>
          <w:lang w:val="fr-FR"/>
        </w:rPr>
        <w:t xml:space="preserve"> à nouveau TGW</w:t>
      </w:r>
    </w:p>
    <w:p w:rsidR="00AE5111" w:rsidRPr="001C65A9" w:rsidRDefault="00AE5111" w:rsidP="00AE5111">
      <w:pPr>
        <w:spacing w:line="360" w:lineRule="auto"/>
        <w:ind w:left="0" w:right="1843"/>
        <w:rPr>
          <w:rFonts w:cs="Arial"/>
          <w:b/>
          <w:sz w:val="24"/>
          <w:szCs w:val="24"/>
          <w:lang w:val="fr-FR"/>
        </w:rPr>
      </w:pPr>
    </w:p>
    <w:p w:rsidR="00AE5111" w:rsidRPr="001C65A9" w:rsidRDefault="00AE5111" w:rsidP="00AE5111">
      <w:pPr>
        <w:spacing w:line="360" w:lineRule="auto"/>
        <w:ind w:left="0" w:right="1843"/>
        <w:rPr>
          <w:rFonts w:cs="Arial"/>
          <w:b/>
          <w:sz w:val="24"/>
          <w:szCs w:val="24"/>
          <w:lang w:val="fr-FR"/>
        </w:rPr>
      </w:pPr>
      <w:r w:rsidRPr="001C65A9">
        <w:rPr>
          <w:rFonts w:cs="Arial"/>
          <w:b/>
          <w:sz w:val="24"/>
          <w:szCs w:val="24"/>
          <w:lang w:val="fr-FR"/>
        </w:rPr>
        <w:t xml:space="preserve">- La </w:t>
      </w:r>
      <w:r w:rsidR="001C65A9">
        <w:rPr>
          <w:rFonts w:cs="Arial"/>
          <w:b/>
          <w:sz w:val="24"/>
          <w:szCs w:val="24"/>
          <w:lang w:val="fr-FR"/>
        </w:rPr>
        <w:t>duplication</w:t>
      </w:r>
      <w:r w:rsidRPr="001C65A9">
        <w:rPr>
          <w:rFonts w:cs="Arial"/>
          <w:b/>
          <w:sz w:val="24"/>
          <w:szCs w:val="24"/>
          <w:lang w:val="fr-FR"/>
        </w:rPr>
        <w:t xml:space="preserve"> de l'installation existante doublera la capacité du spécialiste allemand de l'électronique, Würth eiSos</w:t>
      </w:r>
    </w:p>
    <w:p w:rsidR="00AE5111" w:rsidRPr="001C65A9" w:rsidRDefault="00AE5111" w:rsidP="00AE5111">
      <w:pPr>
        <w:spacing w:line="360" w:lineRule="auto"/>
        <w:ind w:left="0" w:right="1843"/>
        <w:rPr>
          <w:rFonts w:cs="Arial"/>
          <w:b/>
          <w:sz w:val="24"/>
          <w:szCs w:val="24"/>
          <w:lang w:val="fr-FR"/>
        </w:rPr>
      </w:pPr>
      <w:r w:rsidRPr="001C65A9">
        <w:rPr>
          <w:rFonts w:cs="Arial"/>
          <w:b/>
          <w:sz w:val="24"/>
          <w:szCs w:val="24"/>
          <w:lang w:val="fr-FR"/>
        </w:rPr>
        <w:t xml:space="preserve">- </w:t>
      </w:r>
      <w:r w:rsidR="00093ACC" w:rsidRPr="001C65A9">
        <w:rPr>
          <w:rFonts w:cs="Arial"/>
          <w:b/>
          <w:sz w:val="24"/>
          <w:szCs w:val="24"/>
          <w:lang w:val="fr-FR"/>
        </w:rPr>
        <w:t xml:space="preserve">Une </w:t>
      </w:r>
      <w:r w:rsidRPr="001C65A9">
        <w:rPr>
          <w:rFonts w:cs="Arial"/>
          <w:b/>
          <w:sz w:val="24"/>
          <w:szCs w:val="24"/>
          <w:lang w:val="fr-FR"/>
        </w:rPr>
        <w:t xml:space="preserve">confiance </w:t>
      </w:r>
      <w:r w:rsidR="00093ACC" w:rsidRPr="001C65A9">
        <w:rPr>
          <w:rFonts w:cs="Arial"/>
          <w:b/>
          <w:sz w:val="24"/>
          <w:szCs w:val="24"/>
          <w:lang w:val="fr-FR"/>
        </w:rPr>
        <w:t xml:space="preserve">renouvelée </w:t>
      </w:r>
      <w:r w:rsidRPr="001C65A9">
        <w:rPr>
          <w:rFonts w:cs="Arial"/>
          <w:b/>
          <w:sz w:val="24"/>
          <w:szCs w:val="24"/>
          <w:lang w:val="fr-FR"/>
        </w:rPr>
        <w:t>pour le travail du TGW</w:t>
      </w:r>
    </w:p>
    <w:p w:rsidR="00AC41C7" w:rsidRPr="001C65A9" w:rsidRDefault="00AE5111" w:rsidP="00AE5111">
      <w:pPr>
        <w:spacing w:line="360" w:lineRule="auto"/>
        <w:ind w:left="0" w:right="1843"/>
        <w:rPr>
          <w:rFonts w:cs="Arial"/>
          <w:b/>
          <w:sz w:val="24"/>
          <w:szCs w:val="24"/>
          <w:lang w:val="fr-FR"/>
        </w:rPr>
      </w:pPr>
      <w:r w:rsidRPr="001C65A9">
        <w:rPr>
          <w:rFonts w:cs="Arial"/>
          <w:b/>
          <w:sz w:val="24"/>
          <w:szCs w:val="24"/>
          <w:lang w:val="fr-FR"/>
        </w:rPr>
        <w:t xml:space="preserve">- </w:t>
      </w:r>
      <w:r w:rsidR="00093ACC" w:rsidRPr="001C65A9">
        <w:rPr>
          <w:rFonts w:cs="Arial"/>
          <w:b/>
          <w:sz w:val="24"/>
          <w:szCs w:val="24"/>
          <w:lang w:val="fr-FR"/>
        </w:rPr>
        <w:t>L</w:t>
      </w:r>
      <w:r w:rsidRPr="001C65A9">
        <w:rPr>
          <w:rFonts w:cs="Arial"/>
          <w:b/>
          <w:sz w:val="24"/>
          <w:szCs w:val="24"/>
          <w:lang w:val="fr-FR"/>
        </w:rPr>
        <w:t>e coût total de possession</w:t>
      </w:r>
      <w:r w:rsidR="00093ACC" w:rsidRPr="001C65A9">
        <w:rPr>
          <w:rFonts w:cs="Arial"/>
          <w:b/>
          <w:sz w:val="24"/>
          <w:szCs w:val="24"/>
          <w:lang w:val="fr-FR"/>
        </w:rPr>
        <w:t xml:space="preserve"> comme objectif</w:t>
      </w:r>
    </w:p>
    <w:p w:rsidR="00103CFF" w:rsidRPr="00AE5111" w:rsidRDefault="00103CFF" w:rsidP="00103CFF">
      <w:pPr>
        <w:spacing w:line="360" w:lineRule="auto"/>
        <w:ind w:left="0" w:right="1843"/>
        <w:rPr>
          <w:rFonts w:cs="Arial"/>
          <w:b/>
          <w:sz w:val="28"/>
          <w:szCs w:val="28"/>
          <w:lang w:val="fr-FR"/>
        </w:rPr>
      </w:pPr>
    </w:p>
    <w:p w:rsidR="00AE5111" w:rsidRPr="00AE5111" w:rsidRDefault="00AE5111" w:rsidP="00AE5111">
      <w:pPr>
        <w:spacing w:line="360" w:lineRule="auto"/>
        <w:ind w:left="0" w:right="1843"/>
        <w:rPr>
          <w:rFonts w:cs="Arial"/>
          <w:szCs w:val="20"/>
          <w:lang w:val="fr-FR"/>
        </w:rPr>
      </w:pPr>
      <w:r w:rsidRPr="00AE5111">
        <w:rPr>
          <w:rFonts w:cs="Arial"/>
          <w:szCs w:val="20"/>
          <w:lang w:val="fr-FR"/>
        </w:rPr>
        <w:t>Le spécialiste allemand de l'électronique Würth Elektronik eiSos va doubler sa capacité en dupliquant son installation existante. En 2014, TGW a</w:t>
      </w:r>
      <w:r w:rsidR="002F551D">
        <w:rPr>
          <w:rFonts w:cs="Arial"/>
          <w:szCs w:val="20"/>
          <w:lang w:val="fr-FR"/>
        </w:rPr>
        <w:t>vait signé un</w:t>
      </w:r>
      <w:r w:rsidRPr="00AE5111">
        <w:rPr>
          <w:rFonts w:cs="Arial"/>
          <w:szCs w:val="20"/>
          <w:lang w:val="fr-FR"/>
        </w:rPr>
        <w:t xml:space="preserve"> premier projet pour Würth en construisant un centre logistique automatisé au siège de l'entreprise dans la commune allemande de Waldenburg, </w:t>
      </w:r>
      <w:r w:rsidR="002F551D">
        <w:rPr>
          <w:rFonts w:cs="Arial"/>
          <w:szCs w:val="20"/>
          <w:lang w:val="fr-FR"/>
        </w:rPr>
        <w:t>opérationnel</w:t>
      </w:r>
      <w:r w:rsidRPr="00AE5111">
        <w:rPr>
          <w:rFonts w:cs="Arial"/>
          <w:szCs w:val="20"/>
          <w:lang w:val="fr-FR"/>
        </w:rPr>
        <w:t xml:space="preserve"> </w:t>
      </w:r>
      <w:r w:rsidR="002F551D">
        <w:rPr>
          <w:rFonts w:cs="Arial"/>
          <w:szCs w:val="20"/>
          <w:lang w:val="fr-FR"/>
        </w:rPr>
        <w:t xml:space="preserve">depuis </w:t>
      </w:r>
      <w:r w:rsidRPr="00AE5111">
        <w:rPr>
          <w:rFonts w:cs="Arial"/>
          <w:szCs w:val="20"/>
          <w:lang w:val="fr-FR"/>
        </w:rPr>
        <w:t>2016.</w:t>
      </w:r>
      <w:r w:rsidR="002F551D">
        <w:rPr>
          <w:rFonts w:cs="Arial"/>
          <w:szCs w:val="20"/>
          <w:lang w:val="fr-FR"/>
        </w:rPr>
        <w:t xml:space="preserve"> U</w:t>
      </w:r>
      <w:r w:rsidRPr="00AE5111">
        <w:rPr>
          <w:rFonts w:cs="Arial"/>
          <w:szCs w:val="20"/>
          <w:lang w:val="fr-FR"/>
        </w:rPr>
        <w:t xml:space="preserve">ne </w:t>
      </w:r>
      <w:r w:rsidR="001C65A9">
        <w:rPr>
          <w:rFonts w:cs="Arial"/>
          <w:szCs w:val="20"/>
          <w:lang w:val="fr-FR"/>
        </w:rPr>
        <w:t>nouvelle</w:t>
      </w:r>
      <w:r w:rsidRPr="00AE5111">
        <w:rPr>
          <w:rFonts w:cs="Arial"/>
          <w:szCs w:val="20"/>
          <w:lang w:val="fr-FR"/>
        </w:rPr>
        <w:t xml:space="preserve"> commande a été signée </w:t>
      </w:r>
      <w:r w:rsidR="002F551D">
        <w:rPr>
          <w:rFonts w:cs="Arial"/>
          <w:szCs w:val="20"/>
          <w:lang w:val="fr-FR"/>
        </w:rPr>
        <w:t>et d’</w:t>
      </w:r>
      <w:r w:rsidRPr="00AE5111">
        <w:rPr>
          <w:rFonts w:cs="Arial"/>
          <w:szCs w:val="20"/>
          <w:lang w:val="fr-FR"/>
        </w:rPr>
        <w:t>ici février 2020, TGW doublera la capacité du système intralogistique existant.</w:t>
      </w:r>
    </w:p>
    <w:p w:rsidR="00AE5111" w:rsidRPr="00AE5111" w:rsidRDefault="00AE5111" w:rsidP="00AE5111">
      <w:pPr>
        <w:spacing w:line="360" w:lineRule="auto"/>
        <w:ind w:left="0" w:right="1843"/>
        <w:rPr>
          <w:rFonts w:cs="Arial"/>
          <w:szCs w:val="20"/>
          <w:lang w:val="fr-FR"/>
        </w:rPr>
      </w:pPr>
    </w:p>
    <w:p w:rsidR="00AE5111" w:rsidRPr="00AE5111" w:rsidRDefault="00AE5111" w:rsidP="00AE5111">
      <w:pPr>
        <w:spacing w:line="360" w:lineRule="auto"/>
        <w:ind w:left="0" w:right="1843"/>
        <w:rPr>
          <w:rFonts w:cs="Arial"/>
          <w:szCs w:val="20"/>
          <w:lang w:val="fr-FR"/>
        </w:rPr>
      </w:pPr>
      <w:r w:rsidRPr="00AE5111">
        <w:rPr>
          <w:rFonts w:cs="Arial"/>
          <w:szCs w:val="20"/>
          <w:lang w:val="fr-FR"/>
        </w:rPr>
        <w:t>L'expansion de Würth Elektronik eiSos s'explique par la forte croissance de l'entreprise au cours des dernières années. Würth Elektronik eiSos, un groupe d'entreprises basé dans le Bade-Wurtemberg, en Allemagne, est l'un des plus grands fabricants européens de composants électroniques et électromécaniques et affiche une croissance impressionnante. L'entreprise dispose de 17 sites de production et emploie 6 700 personnes.</w:t>
      </w:r>
    </w:p>
    <w:p w:rsidR="00AE5111" w:rsidRPr="00AE5111" w:rsidRDefault="00AE5111" w:rsidP="00AE5111">
      <w:pPr>
        <w:spacing w:line="360" w:lineRule="auto"/>
        <w:ind w:left="0" w:right="1843"/>
        <w:rPr>
          <w:rFonts w:cs="Arial"/>
          <w:szCs w:val="20"/>
          <w:lang w:val="fr-FR"/>
        </w:rPr>
      </w:pPr>
    </w:p>
    <w:p w:rsidR="00AE5111" w:rsidRPr="002F551D" w:rsidRDefault="00AE5111" w:rsidP="00AE5111">
      <w:pPr>
        <w:spacing w:line="360" w:lineRule="auto"/>
        <w:ind w:left="0" w:right="1843"/>
        <w:rPr>
          <w:rFonts w:cs="Arial"/>
          <w:b/>
          <w:szCs w:val="20"/>
          <w:lang w:val="fr-FR"/>
        </w:rPr>
      </w:pPr>
      <w:r w:rsidRPr="002F551D">
        <w:rPr>
          <w:rFonts w:cs="Arial"/>
          <w:b/>
          <w:szCs w:val="20"/>
          <w:lang w:val="fr-FR"/>
        </w:rPr>
        <w:t>Fournir la base de la croissance à venir</w:t>
      </w:r>
    </w:p>
    <w:p w:rsidR="00AE5111" w:rsidRPr="00AE5111" w:rsidRDefault="00AE5111" w:rsidP="00AE5111">
      <w:pPr>
        <w:spacing w:line="360" w:lineRule="auto"/>
        <w:ind w:left="0" w:right="1843"/>
        <w:rPr>
          <w:rFonts w:cs="Arial"/>
          <w:szCs w:val="20"/>
          <w:lang w:val="fr-FR"/>
        </w:rPr>
      </w:pPr>
    </w:p>
    <w:p w:rsidR="00AE5111" w:rsidRPr="00AE5111" w:rsidRDefault="00AE5111" w:rsidP="00AE5111">
      <w:pPr>
        <w:spacing w:line="360" w:lineRule="auto"/>
        <w:ind w:left="0" w:right="1843"/>
        <w:rPr>
          <w:rFonts w:cs="Arial"/>
          <w:szCs w:val="20"/>
          <w:lang w:val="fr-FR"/>
        </w:rPr>
      </w:pPr>
      <w:r w:rsidRPr="00AE5111">
        <w:rPr>
          <w:rFonts w:cs="Arial"/>
          <w:szCs w:val="20"/>
          <w:lang w:val="fr-FR"/>
        </w:rPr>
        <w:t>L</w:t>
      </w:r>
      <w:r w:rsidR="002F551D">
        <w:rPr>
          <w:rFonts w:cs="Arial"/>
          <w:szCs w:val="20"/>
          <w:lang w:val="fr-FR"/>
        </w:rPr>
        <w:t>e magasin automatisé</w:t>
      </w:r>
      <w:r w:rsidR="006A31DC">
        <w:rPr>
          <w:rFonts w:cs="Arial"/>
          <w:szCs w:val="20"/>
          <w:lang w:val="fr-FR"/>
        </w:rPr>
        <w:t xml:space="preserve"> de navettes</w:t>
      </w:r>
      <w:r w:rsidRPr="00AE5111">
        <w:rPr>
          <w:rFonts w:cs="Arial"/>
          <w:szCs w:val="20"/>
          <w:lang w:val="fr-FR"/>
        </w:rPr>
        <w:t xml:space="preserve"> sera </w:t>
      </w:r>
      <w:r w:rsidR="002F551D">
        <w:rPr>
          <w:rFonts w:cs="Arial"/>
          <w:szCs w:val="20"/>
          <w:lang w:val="fr-FR"/>
        </w:rPr>
        <w:t>é</w:t>
      </w:r>
      <w:r w:rsidRPr="00AE5111">
        <w:rPr>
          <w:rFonts w:cs="Arial"/>
          <w:szCs w:val="20"/>
          <w:lang w:val="fr-FR"/>
        </w:rPr>
        <w:t>quipé de six allées supplémentaires, dont seulement trois s</w:t>
      </w:r>
      <w:r w:rsidR="006A31DC">
        <w:rPr>
          <w:rFonts w:cs="Arial"/>
          <w:szCs w:val="20"/>
          <w:lang w:val="fr-FR"/>
        </w:rPr>
        <w:t>er</w:t>
      </w:r>
      <w:r w:rsidRPr="00AE5111">
        <w:rPr>
          <w:rFonts w:cs="Arial"/>
          <w:szCs w:val="20"/>
          <w:lang w:val="fr-FR"/>
        </w:rPr>
        <w:t xml:space="preserve">ont </w:t>
      </w:r>
      <w:r w:rsidR="006A31DC">
        <w:rPr>
          <w:rFonts w:cs="Arial"/>
          <w:szCs w:val="20"/>
          <w:lang w:val="fr-FR"/>
        </w:rPr>
        <w:t>réalisées</w:t>
      </w:r>
      <w:r w:rsidRPr="00AE5111">
        <w:rPr>
          <w:rFonts w:cs="Arial"/>
          <w:szCs w:val="20"/>
          <w:lang w:val="fr-FR"/>
        </w:rPr>
        <w:t xml:space="preserve"> dans cette première étape</w:t>
      </w:r>
      <w:r w:rsidR="006A31DC">
        <w:rPr>
          <w:rFonts w:cs="Arial"/>
          <w:szCs w:val="20"/>
          <w:lang w:val="fr-FR"/>
        </w:rPr>
        <w:t xml:space="preserve">, les autres constituant une réserve </w:t>
      </w:r>
      <w:r w:rsidRPr="00AE5111">
        <w:rPr>
          <w:rFonts w:cs="Arial"/>
          <w:szCs w:val="20"/>
          <w:lang w:val="fr-FR"/>
        </w:rPr>
        <w:t xml:space="preserve">pour une expansion future. En outre, dix nouveaux postes de préparation des commandes et onze postes d'emballage seront créés. TGW fournira également sa technologie de convoyage KingDrive® pour les cartons et les </w:t>
      </w:r>
      <w:r w:rsidR="006A31DC">
        <w:rPr>
          <w:rFonts w:cs="Arial"/>
          <w:szCs w:val="20"/>
          <w:lang w:val="fr-FR"/>
        </w:rPr>
        <w:t>bacs</w:t>
      </w:r>
      <w:r w:rsidRPr="00AE5111">
        <w:rPr>
          <w:rFonts w:cs="Arial"/>
          <w:szCs w:val="20"/>
          <w:lang w:val="fr-FR"/>
        </w:rPr>
        <w:t>, y compris l</w:t>
      </w:r>
      <w:r w:rsidR="006A31DC">
        <w:rPr>
          <w:rFonts w:cs="Arial"/>
          <w:szCs w:val="20"/>
          <w:lang w:val="fr-FR"/>
        </w:rPr>
        <w:t>’automatism</w:t>
      </w:r>
      <w:r w:rsidRPr="00AE5111">
        <w:rPr>
          <w:rFonts w:cs="Arial"/>
          <w:szCs w:val="20"/>
          <w:lang w:val="fr-FR"/>
        </w:rPr>
        <w:t xml:space="preserve">e </w:t>
      </w:r>
      <w:r w:rsidR="006A31DC">
        <w:rPr>
          <w:rFonts w:cs="Arial"/>
          <w:szCs w:val="20"/>
          <w:lang w:val="fr-FR"/>
        </w:rPr>
        <w:t>« </w:t>
      </w:r>
      <w:r w:rsidRPr="00AE5111">
        <w:rPr>
          <w:rFonts w:cs="Arial"/>
          <w:szCs w:val="20"/>
          <w:lang w:val="fr-FR"/>
        </w:rPr>
        <w:t>Commander</w:t>
      </w:r>
      <w:r w:rsidR="006A31DC">
        <w:rPr>
          <w:rFonts w:cs="Arial"/>
          <w:szCs w:val="20"/>
          <w:lang w:val="fr-FR"/>
        </w:rPr>
        <w:t> »</w:t>
      </w:r>
      <w:r w:rsidRPr="00AE5111">
        <w:rPr>
          <w:rFonts w:cs="Arial"/>
          <w:szCs w:val="20"/>
          <w:lang w:val="fr-FR"/>
        </w:rPr>
        <w:t xml:space="preserve"> et le WCS.</w:t>
      </w:r>
    </w:p>
    <w:p w:rsidR="00AE5111" w:rsidRPr="00AE5111" w:rsidRDefault="00AE5111" w:rsidP="00AE5111">
      <w:pPr>
        <w:spacing w:line="360" w:lineRule="auto"/>
        <w:ind w:left="0" w:right="1843"/>
        <w:rPr>
          <w:rFonts w:cs="Arial"/>
          <w:szCs w:val="20"/>
          <w:lang w:val="fr-FR"/>
        </w:rPr>
      </w:pPr>
    </w:p>
    <w:p w:rsidR="00AE5111" w:rsidRPr="00AE5111" w:rsidRDefault="006A31DC" w:rsidP="00AE5111">
      <w:pPr>
        <w:spacing w:line="360" w:lineRule="auto"/>
        <w:ind w:left="0" w:right="1843"/>
        <w:rPr>
          <w:rFonts w:cs="Arial"/>
          <w:szCs w:val="20"/>
          <w:lang w:val="fr-FR"/>
        </w:rPr>
      </w:pPr>
      <w:r>
        <w:rPr>
          <w:rFonts w:cs="Arial"/>
          <w:szCs w:val="20"/>
          <w:lang w:val="fr-FR"/>
        </w:rPr>
        <w:t xml:space="preserve">Cette </w:t>
      </w:r>
      <w:r w:rsidR="00AE5111" w:rsidRPr="00AE5111">
        <w:rPr>
          <w:rFonts w:cs="Arial"/>
          <w:szCs w:val="20"/>
          <w:lang w:val="fr-FR"/>
        </w:rPr>
        <w:t xml:space="preserve">expansion </w:t>
      </w:r>
      <w:r>
        <w:rPr>
          <w:rFonts w:cs="Arial"/>
          <w:szCs w:val="20"/>
          <w:lang w:val="fr-FR"/>
        </w:rPr>
        <w:t xml:space="preserve">constitue </w:t>
      </w:r>
      <w:r w:rsidR="00AE5111" w:rsidRPr="00AE5111">
        <w:rPr>
          <w:rFonts w:cs="Arial"/>
          <w:szCs w:val="20"/>
          <w:lang w:val="fr-FR"/>
        </w:rPr>
        <w:t xml:space="preserve">les bases </w:t>
      </w:r>
      <w:r>
        <w:rPr>
          <w:rFonts w:cs="Arial"/>
          <w:szCs w:val="20"/>
          <w:lang w:val="fr-FR"/>
        </w:rPr>
        <w:t>pour la</w:t>
      </w:r>
      <w:r w:rsidR="00AE5111" w:rsidRPr="00AE5111">
        <w:rPr>
          <w:rFonts w:cs="Arial"/>
          <w:szCs w:val="20"/>
          <w:lang w:val="fr-FR"/>
        </w:rPr>
        <w:t xml:space="preserve"> </w:t>
      </w:r>
      <w:r w:rsidRPr="00AE5111">
        <w:rPr>
          <w:rFonts w:cs="Arial"/>
          <w:szCs w:val="20"/>
          <w:lang w:val="fr-FR"/>
        </w:rPr>
        <w:t>future</w:t>
      </w:r>
      <w:r w:rsidRPr="00AE5111">
        <w:rPr>
          <w:rFonts w:cs="Arial"/>
          <w:szCs w:val="20"/>
          <w:lang w:val="fr-FR"/>
        </w:rPr>
        <w:t xml:space="preserve"> </w:t>
      </w:r>
      <w:r w:rsidR="00AE5111" w:rsidRPr="00AE5111">
        <w:rPr>
          <w:rFonts w:cs="Arial"/>
          <w:szCs w:val="20"/>
          <w:lang w:val="fr-FR"/>
        </w:rPr>
        <w:t>croissance. Lors de la</w:t>
      </w:r>
      <w:r>
        <w:rPr>
          <w:rFonts w:cs="Arial"/>
          <w:szCs w:val="20"/>
          <w:lang w:val="fr-FR"/>
        </w:rPr>
        <w:t xml:space="preserve"> duplication</w:t>
      </w:r>
      <w:r w:rsidR="00AE5111" w:rsidRPr="00AE5111">
        <w:rPr>
          <w:rFonts w:cs="Arial"/>
          <w:szCs w:val="20"/>
          <w:lang w:val="fr-FR"/>
        </w:rPr>
        <w:t xml:space="preserve"> du système existant, une attention particulière doit être accordée aux interfaces. Les travaux et adaptations doivent être effectués en dehors des heures d'</w:t>
      </w:r>
      <w:r>
        <w:rPr>
          <w:rFonts w:cs="Arial"/>
          <w:szCs w:val="20"/>
          <w:lang w:val="fr-FR"/>
        </w:rPr>
        <w:t>exploitation</w:t>
      </w:r>
      <w:r w:rsidR="00AE5111" w:rsidRPr="00AE5111">
        <w:rPr>
          <w:rFonts w:cs="Arial"/>
          <w:szCs w:val="20"/>
          <w:lang w:val="fr-FR"/>
        </w:rPr>
        <w:t xml:space="preserve">, avec des </w:t>
      </w:r>
      <w:r w:rsidR="001F5D6D">
        <w:rPr>
          <w:rFonts w:cs="Arial"/>
          <w:szCs w:val="20"/>
          <w:lang w:val="fr-FR"/>
        </w:rPr>
        <w:t>périodes</w:t>
      </w:r>
      <w:r w:rsidR="00AE5111" w:rsidRPr="00AE5111">
        <w:rPr>
          <w:rFonts w:cs="Arial"/>
          <w:szCs w:val="20"/>
          <w:lang w:val="fr-FR"/>
        </w:rPr>
        <w:t xml:space="preserve"> limitées pour les temps d'arrêt. </w:t>
      </w:r>
    </w:p>
    <w:p w:rsidR="00AE5111" w:rsidRPr="001F5D6D" w:rsidRDefault="00AE5111" w:rsidP="00AE5111">
      <w:pPr>
        <w:spacing w:line="360" w:lineRule="auto"/>
        <w:ind w:left="0" w:right="1843"/>
        <w:rPr>
          <w:rFonts w:cs="Arial"/>
          <w:b/>
          <w:szCs w:val="20"/>
          <w:lang w:val="fr-FR"/>
        </w:rPr>
      </w:pPr>
    </w:p>
    <w:p w:rsidR="00AE5111" w:rsidRPr="001F5D6D" w:rsidRDefault="00AE5111" w:rsidP="00AE5111">
      <w:pPr>
        <w:spacing w:line="360" w:lineRule="auto"/>
        <w:ind w:left="0" w:right="1843"/>
        <w:rPr>
          <w:rFonts w:cs="Arial"/>
          <w:b/>
          <w:szCs w:val="20"/>
          <w:lang w:val="fr-FR"/>
        </w:rPr>
      </w:pPr>
      <w:r w:rsidRPr="001F5D6D">
        <w:rPr>
          <w:rFonts w:cs="Arial"/>
          <w:b/>
          <w:szCs w:val="20"/>
          <w:lang w:val="fr-FR"/>
        </w:rPr>
        <w:t>Coût total de possession</w:t>
      </w:r>
    </w:p>
    <w:p w:rsidR="00AE5111" w:rsidRPr="00AE5111" w:rsidRDefault="00AE5111" w:rsidP="00AE5111">
      <w:pPr>
        <w:spacing w:line="360" w:lineRule="auto"/>
        <w:ind w:left="0" w:right="1843"/>
        <w:rPr>
          <w:rFonts w:cs="Arial"/>
          <w:szCs w:val="20"/>
          <w:lang w:val="fr-FR"/>
        </w:rPr>
      </w:pPr>
    </w:p>
    <w:p w:rsidR="00AE5111" w:rsidRPr="00AE5111" w:rsidRDefault="00AE5111" w:rsidP="00AE5111">
      <w:pPr>
        <w:spacing w:line="360" w:lineRule="auto"/>
        <w:ind w:left="0" w:right="1843"/>
        <w:rPr>
          <w:rFonts w:cs="Arial"/>
          <w:szCs w:val="20"/>
          <w:lang w:val="fr-FR"/>
        </w:rPr>
      </w:pPr>
      <w:r w:rsidRPr="00AE5111">
        <w:rPr>
          <w:rFonts w:cs="Arial"/>
          <w:szCs w:val="20"/>
          <w:lang w:val="fr-FR"/>
        </w:rPr>
        <w:t xml:space="preserve">"Le fait que Würth Elektronik eiSos ait de nouveau choisi TGW comme partenaire pour une expansion aussi importante est un signe de confiance et une confirmation de </w:t>
      </w:r>
      <w:r w:rsidR="001C65A9">
        <w:rPr>
          <w:rFonts w:cs="Arial"/>
          <w:szCs w:val="20"/>
          <w:lang w:val="fr-FR"/>
        </w:rPr>
        <w:t xml:space="preserve">la qualité de </w:t>
      </w:r>
      <w:r w:rsidRPr="00AE5111">
        <w:rPr>
          <w:rFonts w:cs="Arial"/>
          <w:szCs w:val="20"/>
          <w:lang w:val="fr-FR"/>
        </w:rPr>
        <w:t xml:space="preserve">notre travail ", déclare Christoph Wolkerstorfer, CSO de TGW Logistics Group. "La conception évolutive a été un critère essentiel pour s'appuyer sur la compétence de TGW dès le début. La conception du projet actuel tient déjà compte d'une troisième phase d'expansion possible en 2023." Afin de pouvoir utiliser autant de pièces identiques que possible et d'influencer ainsi positivement le coût total de possession, les composants utilisés sont basés sur la solution </w:t>
      </w:r>
      <w:r w:rsidR="001C65A9">
        <w:rPr>
          <w:rFonts w:cs="Arial"/>
          <w:szCs w:val="20"/>
          <w:lang w:val="fr-FR"/>
        </w:rPr>
        <w:t xml:space="preserve">de </w:t>
      </w:r>
      <w:r w:rsidRPr="00AE5111">
        <w:rPr>
          <w:rFonts w:cs="Arial"/>
          <w:szCs w:val="20"/>
          <w:lang w:val="fr-FR"/>
        </w:rPr>
        <w:t>2014.</w:t>
      </w:r>
    </w:p>
    <w:p w:rsidR="00AE5111" w:rsidRPr="00AE5111" w:rsidRDefault="00AE5111" w:rsidP="00AE5111">
      <w:pPr>
        <w:spacing w:line="360" w:lineRule="auto"/>
        <w:ind w:left="0" w:right="1843"/>
        <w:rPr>
          <w:rFonts w:cs="Arial"/>
          <w:szCs w:val="20"/>
          <w:lang w:val="fr-FR"/>
        </w:rPr>
      </w:pPr>
    </w:p>
    <w:p w:rsidR="00AE5111" w:rsidRPr="001C65A9" w:rsidRDefault="001C65A9" w:rsidP="00AE5111">
      <w:pPr>
        <w:spacing w:line="360" w:lineRule="auto"/>
        <w:ind w:left="0" w:right="1843"/>
        <w:rPr>
          <w:rFonts w:cs="Arial"/>
          <w:b/>
          <w:szCs w:val="20"/>
          <w:lang w:val="fr-FR"/>
        </w:rPr>
      </w:pPr>
      <w:r w:rsidRPr="001C65A9">
        <w:rPr>
          <w:rFonts w:cs="Arial"/>
          <w:b/>
          <w:szCs w:val="20"/>
          <w:lang w:val="fr-FR"/>
        </w:rPr>
        <w:t>Dépasser les attentes</w:t>
      </w:r>
    </w:p>
    <w:p w:rsidR="00AE5111" w:rsidRPr="00AE5111" w:rsidRDefault="00AE5111" w:rsidP="00AE5111">
      <w:pPr>
        <w:spacing w:line="360" w:lineRule="auto"/>
        <w:ind w:left="0" w:right="1843"/>
        <w:rPr>
          <w:rFonts w:cs="Arial"/>
          <w:szCs w:val="20"/>
          <w:lang w:val="fr-FR"/>
        </w:rPr>
      </w:pPr>
    </w:p>
    <w:p w:rsidR="00AE5111" w:rsidRPr="00AE5111" w:rsidRDefault="00AE5111" w:rsidP="00AE5111">
      <w:pPr>
        <w:spacing w:line="360" w:lineRule="auto"/>
        <w:ind w:left="0" w:right="1843"/>
        <w:rPr>
          <w:rFonts w:cs="Arial"/>
          <w:szCs w:val="20"/>
          <w:lang w:val="fr-FR"/>
        </w:rPr>
      </w:pPr>
      <w:r w:rsidRPr="00AE5111">
        <w:rPr>
          <w:rFonts w:cs="Arial"/>
          <w:szCs w:val="20"/>
          <w:lang w:val="fr-FR"/>
        </w:rPr>
        <w:t xml:space="preserve">La disponibilité de toutes les pièces en stock est décisive pour le concept d'orientation client </w:t>
      </w:r>
      <w:r w:rsidR="00EF3956">
        <w:rPr>
          <w:rFonts w:cs="Arial"/>
          <w:szCs w:val="20"/>
          <w:lang w:val="fr-FR"/>
        </w:rPr>
        <w:t>propre à</w:t>
      </w:r>
      <w:r w:rsidRPr="00AE5111">
        <w:rPr>
          <w:rFonts w:cs="Arial"/>
          <w:szCs w:val="20"/>
          <w:lang w:val="fr-FR"/>
        </w:rPr>
        <w:t xml:space="preserve"> Würth Elektronik eiSos, qui va bien au-delà de ce qui est commun dans l'industrie - " plus que ce que vous attendez " est la devise de l'entreprise.</w:t>
      </w:r>
    </w:p>
    <w:p w:rsidR="00AE5111" w:rsidRPr="00AE5111" w:rsidRDefault="00AE5111" w:rsidP="00AE5111">
      <w:pPr>
        <w:spacing w:line="360" w:lineRule="auto"/>
        <w:ind w:left="0" w:right="1843"/>
        <w:rPr>
          <w:rFonts w:cs="Arial"/>
          <w:szCs w:val="20"/>
          <w:lang w:val="fr-FR"/>
        </w:rPr>
      </w:pPr>
    </w:p>
    <w:p w:rsidR="00103CFF" w:rsidRPr="00AE5111" w:rsidRDefault="00AE5111" w:rsidP="00AE5111">
      <w:pPr>
        <w:spacing w:line="360" w:lineRule="auto"/>
        <w:ind w:left="0" w:right="1843"/>
        <w:rPr>
          <w:rFonts w:cs="Arial"/>
          <w:szCs w:val="20"/>
          <w:lang w:val="fr-FR"/>
        </w:rPr>
      </w:pPr>
      <w:r w:rsidRPr="00AE5111">
        <w:rPr>
          <w:rFonts w:cs="Arial"/>
          <w:szCs w:val="20"/>
          <w:lang w:val="fr-FR"/>
        </w:rPr>
        <w:t>"Nous sommes extrêmement satisfaits du travail de TGW et le système a fait ses preuves, d'autant plus que notre politique d'entreprise génère un nombre extrêmement élevé de prélèvements dans l'entrepôt : Nous envoyons gratuitement des échantillons de composants aux développeurs et nous n'avons pas de quantité minimale de commande ", explique Thorsten Rollbühler, chef de projet pour l'extension du magasin chez Würth Elektronik eiSos. "TGW nous fournira à nouveau un système capable de grandir avec nous pour que notre centre logistique puisse continuer à répondre à nos exigences élevées."</w:t>
      </w:r>
    </w:p>
    <w:p w:rsidR="00560A7A" w:rsidRDefault="00560A7A" w:rsidP="008D7FF7">
      <w:pPr>
        <w:spacing w:line="240" w:lineRule="auto"/>
        <w:ind w:left="0" w:right="1843"/>
        <w:rPr>
          <w:rFonts w:cs="Arial"/>
          <w:szCs w:val="20"/>
          <w:lang w:val="fr-FR"/>
        </w:rPr>
      </w:pPr>
    </w:p>
    <w:p w:rsidR="00EF3956" w:rsidRDefault="00EF3956" w:rsidP="008D7FF7">
      <w:pPr>
        <w:spacing w:line="240" w:lineRule="auto"/>
        <w:ind w:left="0" w:right="1843"/>
        <w:rPr>
          <w:rFonts w:cs="Arial"/>
          <w:szCs w:val="20"/>
          <w:lang w:val="fr-FR"/>
        </w:rPr>
      </w:pPr>
    </w:p>
    <w:p w:rsidR="00EF3956" w:rsidRDefault="00EF3956" w:rsidP="008D7FF7">
      <w:pPr>
        <w:spacing w:line="240" w:lineRule="auto"/>
        <w:ind w:left="0" w:right="1843"/>
        <w:rPr>
          <w:rFonts w:cs="Arial"/>
          <w:szCs w:val="20"/>
          <w:lang w:val="fr-FR"/>
        </w:rPr>
      </w:pPr>
    </w:p>
    <w:p w:rsidR="00EF3956" w:rsidRDefault="00EF3956" w:rsidP="008D7FF7">
      <w:pPr>
        <w:spacing w:line="240" w:lineRule="auto"/>
        <w:ind w:left="0" w:right="1843"/>
        <w:rPr>
          <w:rFonts w:cs="Arial"/>
          <w:szCs w:val="20"/>
          <w:lang w:val="fr-FR"/>
        </w:rPr>
      </w:pPr>
    </w:p>
    <w:p w:rsidR="00EF3956" w:rsidRPr="00103CFF" w:rsidRDefault="00EF3956" w:rsidP="008D7FF7">
      <w:pPr>
        <w:spacing w:line="240" w:lineRule="auto"/>
        <w:ind w:left="0" w:right="1843"/>
        <w:rPr>
          <w:rFonts w:cs="Arial"/>
          <w:szCs w:val="20"/>
          <w:lang w:val="fr-FR"/>
        </w:rPr>
      </w:pPr>
    </w:p>
    <w:p w:rsidR="00560A7A" w:rsidRPr="00EC6AA7" w:rsidRDefault="00E54675" w:rsidP="00560A7A">
      <w:pPr>
        <w:spacing w:line="240" w:lineRule="auto"/>
        <w:ind w:left="0" w:right="1843"/>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167C23" w:rsidRPr="00EF3956" w:rsidRDefault="00167C23" w:rsidP="00167C23">
      <w:pPr>
        <w:pStyle w:val="NormalWeb"/>
        <w:shd w:val="clear" w:color="auto" w:fill="FFFFFF"/>
        <w:spacing w:before="0" w:beforeAutospacing="0" w:after="0" w:afterAutospacing="0" w:line="360" w:lineRule="auto"/>
        <w:ind w:right="165"/>
        <w:jc w:val="both"/>
        <w:rPr>
          <w:rFonts w:ascii="Arial" w:hAnsi="Arial" w:cs="Arial"/>
          <w:sz w:val="20"/>
          <w:szCs w:val="20"/>
          <w:lang w:val="fr-FR"/>
        </w:rPr>
      </w:pPr>
      <w:r w:rsidRPr="00EF3956">
        <w:rPr>
          <w:rFonts w:ascii="Arial" w:hAnsi="Arial" w:cs="Arial"/>
          <w:b/>
          <w:sz w:val="20"/>
          <w:szCs w:val="20"/>
          <w:lang w:val="fr-FR"/>
        </w:rPr>
        <w:t>A propos de TGW Logistics Group:</w:t>
      </w:r>
    </w:p>
    <w:p w:rsidR="00167C23" w:rsidRPr="00EF3956" w:rsidRDefault="00167C23" w:rsidP="00167C23">
      <w:pPr>
        <w:shd w:val="clear" w:color="auto" w:fill="FFFFFF"/>
        <w:spacing w:line="240" w:lineRule="auto"/>
        <w:ind w:left="0" w:right="165"/>
        <w:rPr>
          <w:rFonts w:eastAsia="Times New Roman" w:cs="Arial"/>
          <w:szCs w:val="20"/>
          <w:lang w:val="fr-FR" w:eastAsia="fr-FR"/>
        </w:rPr>
      </w:pPr>
      <w:r w:rsidRPr="00EF3956">
        <w:rPr>
          <w:rFonts w:eastAsia="Times New Roman" w:cs="Arial"/>
          <w:szCs w:val="20"/>
          <w:lang w:val="fr-FR" w:eastAsia="fr-FR"/>
        </w:rPr>
        <w:t xml:space="preserve">TGW Logistics Group est l'un des principaux fournisseurs dans le monde de solutions intralogistiques automatisées clés en mains. Depuis sa création en 1969, l'entreprise autrichienne a fourni dans le monde entier une gamme diversifiée de solutions intralogistique sur mesure, aussi bien pour des magasins automatisés de petite taille que pour centres logistiques complexes pour de grandes entreprises de  A comme Adidas à Z comme Zalando. </w:t>
      </w:r>
    </w:p>
    <w:p w:rsidR="00167C23" w:rsidRPr="00EF3956" w:rsidRDefault="00167C23" w:rsidP="00167C23">
      <w:pPr>
        <w:shd w:val="clear" w:color="auto" w:fill="FFFFFF"/>
        <w:spacing w:line="240" w:lineRule="auto"/>
        <w:ind w:left="0" w:right="165"/>
        <w:rPr>
          <w:rFonts w:eastAsia="Times New Roman" w:cs="Arial"/>
          <w:szCs w:val="20"/>
          <w:lang w:val="fr-FR" w:eastAsia="fr-FR"/>
        </w:rPr>
      </w:pPr>
      <w:r w:rsidRPr="00EF3956">
        <w:rPr>
          <w:rFonts w:eastAsia="Times New Roman" w:cs="Arial"/>
          <w:szCs w:val="20"/>
          <w:lang w:val="fr-FR" w:eastAsia="fr-FR"/>
        </w:rPr>
        <w:t>Avec près de 3 300 employés, TGW Logistics Group fabrique en Autriche et dispose de filiales en Europe, en Chine et aux Etats-Unis. Au cours de l'exercice 2017/2018, TGW Logistics Group a réalisé un chiffre d'affaires de 713 millions d'euros.</w:t>
      </w: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szCs w:val="20"/>
          <w:lang w:val="fr-FR"/>
        </w:rPr>
      </w:pPr>
    </w:p>
    <w:p w:rsidR="00167C23" w:rsidRPr="00EF3956" w:rsidRDefault="00167C23" w:rsidP="00167C23">
      <w:pPr>
        <w:spacing w:line="240" w:lineRule="auto"/>
        <w:ind w:left="0" w:right="165"/>
        <w:rPr>
          <w:rFonts w:cs="Arial"/>
          <w:b/>
          <w:szCs w:val="20"/>
          <w:lang w:val="fr-FR"/>
        </w:rPr>
      </w:pPr>
      <w:r w:rsidRPr="00EF3956">
        <w:rPr>
          <w:rFonts w:cs="Arial"/>
          <w:b/>
          <w:szCs w:val="20"/>
          <w:lang w:val="fr-FR"/>
        </w:rPr>
        <w:t>Photos :</w:t>
      </w:r>
    </w:p>
    <w:p w:rsidR="00167C23" w:rsidRPr="00EF3956" w:rsidRDefault="00167C23" w:rsidP="00167C23">
      <w:pPr>
        <w:spacing w:line="240" w:lineRule="auto"/>
        <w:ind w:left="0" w:right="165"/>
        <w:rPr>
          <w:rFonts w:cs="Arial"/>
          <w:szCs w:val="20"/>
          <w:lang w:val="fr-FR"/>
        </w:rPr>
      </w:pPr>
      <w:r w:rsidRPr="00EF3956">
        <w:rPr>
          <w:rFonts w:cs="Arial"/>
          <w:szCs w:val="20"/>
          <w:lang w:val="fr-FR"/>
        </w:rPr>
        <w:t>L’utilisation des photos mentionnant TGW Logistics Group sont libres de droits. L’utilisation des photos TGW à des fins promotionnelles est interdite.</w:t>
      </w:r>
    </w:p>
    <w:p w:rsidR="00167C23" w:rsidRPr="00EF3956" w:rsidRDefault="00167C23" w:rsidP="00167C23">
      <w:pPr>
        <w:spacing w:line="240" w:lineRule="auto"/>
        <w:ind w:left="0" w:right="165"/>
        <w:rPr>
          <w:rFonts w:cs="Arial"/>
          <w:szCs w:val="20"/>
          <w:lang w:val="fr-FR"/>
        </w:rPr>
      </w:pPr>
      <w:r w:rsidRPr="00EF3956">
        <w:rPr>
          <w:rFonts w:cs="Arial"/>
          <w:szCs w:val="20"/>
          <w:lang w:val="fr-FR"/>
        </w:rPr>
        <w:br/>
      </w:r>
    </w:p>
    <w:p w:rsidR="00167C23" w:rsidRPr="00EF3956" w:rsidRDefault="00167C23" w:rsidP="00167C23">
      <w:pPr>
        <w:spacing w:line="240" w:lineRule="auto"/>
        <w:ind w:left="0" w:right="165"/>
        <w:rPr>
          <w:rFonts w:cs="Arial"/>
          <w:b/>
          <w:szCs w:val="20"/>
          <w:lang w:val="en-US"/>
        </w:rPr>
      </w:pPr>
      <w:r w:rsidRPr="00EF3956">
        <w:rPr>
          <w:rFonts w:cs="Arial"/>
          <w:b/>
          <w:szCs w:val="20"/>
          <w:lang w:val="en-US"/>
        </w:rPr>
        <w:t>Contact</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Martin Kirchmayr</w:t>
      </w:r>
    </w:p>
    <w:p w:rsidR="00167C23" w:rsidRPr="00EF3956" w:rsidRDefault="00167C23" w:rsidP="00167C23">
      <w:pPr>
        <w:spacing w:line="240" w:lineRule="auto"/>
        <w:ind w:left="0" w:right="165"/>
        <w:rPr>
          <w:rFonts w:cs="Arial"/>
          <w:szCs w:val="20"/>
          <w:lang w:val="en-US"/>
        </w:rPr>
      </w:pPr>
      <w:r w:rsidRPr="00EF3956">
        <w:rPr>
          <w:rFonts w:cs="Arial"/>
          <w:szCs w:val="20"/>
          <w:lang w:val="en-US"/>
        </w:rPr>
        <w:t>Director Marketing &amp; Communication</w:t>
      </w:r>
    </w:p>
    <w:p w:rsidR="00167C23" w:rsidRPr="00EF3956" w:rsidRDefault="00167C23" w:rsidP="00167C23">
      <w:pPr>
        <w:spacing w:line="240" w:lineRule="auto"/>
        <w:ind w:left="0" w:right="165"/>
        <w:rPr>
          <w:rFonts w:cs="Arial"/>
          <w:szCs w:val="20"/>
        </w:rPr>
      </w:pPr>
      <w:r w:rsidRPr="00EF3956">
        <w:rPr>
          <w:rFonts w:cs="Arial"/>
          <w:szCs w:val="20"/>
        </w:rPr>
        <w:t>T: +43.(0)50.486-1382</w:t>
      </w:r>
    </w:p>
    <w:p w:rsidR="00167C23" w:rsidRPr="00EF3956" w:rsidRDefault="00167C23" w:rsidP="00167C23">
      <w:pPr>
        <w:spacing w:line="240" w:lineRule="auto"/>
        <w:ind w:left="0" w:right="165"/>
        <w:rPr>
          <w:rFonts w:cs="Arial"/>
          <w:szCs w:val="20"/>
        </w:rPr>
      </w:pPr>
      <w:r w:rsidRPr="00EF3956">
        <w:rPr>
          <w:rFonts w:cs="Arial"/>
          <w:szCs w:val="20"/>
        </w:rPr>
        <w:t>M: +43.(0)664.8187423</w:t>
      </w:r>
    </w:p>
    <w:p w:rsidR="00167C23" w:rsidRPr="00EF3956" w:rsidRDefault="00167C23" w:rsidP="00167C23">
      <w:pPr>
        <w:spacing w:line="240" w:lineRule="auto"/>
        <w:ind w:left="0" w:right="165"/>
        <w:rPr>
          <w:rFonts w:cs="Arial"/>
          <w:szCs w:val="20"/>
        </w:rPr>
      </w:pPr>
      <w:r w:rsidRPr="00EF3956">
        <w:rPr>
          <w:rFonts w:cs="Arial"/>
          <w:szCs w:val="20"/>
        </w:rPr>
        <w:t>martin.kirch</w:t>
      </w:r>
      <w:r w:rsidRPr="00EF3956">
        <w:rPr>
          <w:rFonts w:cs="Arial"/>
          <w:szCs w:val="20"/>
        </w:rPr>
        <w:softHyphen/>
      </w:r>
      <w:r w:rsidRPr="00EF3956">
        <w:rPr>
          <w:rFonts w:cs="Arial"/>
          <w:szCs w:val="20"/>
        </w:rPr>
        <w:softHyphen/>
      </w:r>
      <w:r w:rsidRPr="00EF3956">
        <w:rPr>
          <w:rFonts w:cs="Arial"/>
          <w:szCs w:val="20"/>
        </w:rPr>
        <w:softHyphen/>
      </w:r>
      <w:r w:rsidRPr="00EF3956">
        <w:rPr>
          <w:rFonts w:cs="Arial"/>
          <w:szCs w:val="20"/>
        </w:rPr>
        <w:softHyphen/>
        <w:t>mayr@tgw-group.com</w:t>
      </w: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p>
    <w:p w:rsidR="00167C23" w:rsidRPr="00EF3956" w:rsidRDefault="00167C23" w:rsidP="00167C23">
      <w:pPr>
        <w:spacing w:line="240" w:lineRule="auto"/>
        <w:ind w:left="0" w:right="165"/>
        <w:rPr>
          <w:rFonts w:cs="Arial"/>
          <w:szCs w:val="20"/>
        </w:rPr>
      </w:pPr>
      <w:r w:rsidRPr="00EF3956">
        <w:rPr>
          <w:rFonts w:cs="Arial"/>
          <w:szCs w:val="20"/>
        </w:rPr>
        <w:t>Alexander Tahedl</w:t>
      </w:r>
    </w:p>
    <w:p w:rsidR="00167C23" w:rsidRPr="00EF3956" w:rsidRDefault="00167C23" w:rsidP="00167C23">
      <w:pPr>
        <w:spacing w:line="240" w:lineRule="auto"/>
        <w:ind w:left="0" w:right="165"/>
        <w:rPr>
          <w:rFonts w:cs="Arial"/>
          <w:szCs w:val="20"/>
          <w:lang w:val="en-US"/>
        </w:rPr>
      </w:pPr>
      <w:r w:rsidRPr="00EF3956">
        <w:rPr>
          <w:rFonts w:cs="Arial"/>
          <w:szCs w:val="20"/>
          <w:lang w:val="en-US"/>
        </w:rPr>
        <w:t>Marketing Specialist</w:t>
      </w:r>
    </w:p>
    <w:p w:rsidR="00167C23" w:rsidRPr="00EF3956" w:rsidRDefault="00167C23" w:rsidP="00167C23">
      <w:pPr>
        <w:spacing w:line="240" w:lineRule="auto"/>
        <w:ind w:left="0" w:right="165"/>
        <w:rPr>
          <w:rFonts w:cs="Arial"/>
          <w:szCs w:val="20"/>
          <w:lang w:val="en-US"/>
        </w:rPr>
      </w:pPr>
      <w:r w:rsidRPr="00EF3956">
        <w:rPr>
          <w:rFonts w:cs="Arial"/>
          <w:szCs w:val="20"/>
          <w:lang w:val="en-US"/>
        </w:rPr>
        <w:t>T: +43.(0)50.486-2267</w:t>
      </w:r>
    </w:p>
    <w:p w:rsidR="00560A7A" w:rsidRPr="00EF3956" w:rsidRDefault="00167C23" w:rsidP="00434783">
      <w:pPr>
        <w:spacing w:line="240" w:lineRule="auto"/>
        <w:ind w:left="0" w:right="165"/>
        <w:rPr>
          <w:rStyle w:val="Lienhypertexte"/>
          <w:rFonts w:cs="Arial"/>
          <w:color w:val="auto"/>
          <w:szCs w:val="20"/>
          <w:u w:val="none"/>
          <w:lang w:val="en-US"/>
        </w:rPr>
      </w:pPr>
      <w:r w:rsidRPr="00EF3956">
        <w:rPr>
          <w:rFonts w:cs="Arial"/>
          <w:szCs w:val="20"/>
          <w:lang w:val="en-US"/>
        </w:rPr>
        <w:t>alexander.tahedl@tgw-group.com</w:t>
      </w:r>
    </w:p>
    <w:sectPr w:rsidR="00560A7A" w:rsidRPr="00EF3956"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75" w:rsidRDefault="00E54675" w:rsidP="00764006">
      <w:pPr>
        <w:spacing w:line="240" w:lineRule="auto"/>
      </w:pPr>
      <w:r>
        <w:separator/>
      </w:r>
    </w:p>
  </w:endnote>
  <w:endnote w:type="continuationSeparator" w:id="0">
    <w:p w:rsidR="00E54675" w:rsidRDefault="00E5467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5E35D2">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5E35D2">
            <w:rPr>
              <w:noProof/>
              <w:sz w:val="16"/>
              <w:szCs w:val="16"/>
            </w:rPr>
            <w:t>3</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75" w:rsidRDefault="00E54675" w:rsidP="00764006">
      <w:pPr>
        <w:spacing w:line="240" w:lineRule="auto"/>
      </w:pPr>
      <w:r>
        <w:separator/>
      </w:r>
    </w:p>
  </w:footnote>
  <w:footnote w:type="continuationSeparator" w:id="0">
    <w:p w:rsidR="00E54675" w:rsidRDefault="00E5467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3"/>
  </w:num>
  <w:num w:numId="5">
    <w:abstractNumId w:val="14"/>
  </w:num>
  <w:num w:numId="6">
    <w:abstractNumId w:val="1"/>
  </w:num>
  <w:num w:numId="7">
    <w:abstractNumId w:val="0"/>
  </w:num>
  <w:num w:numId="8">
    <w:abstractNumId w:val="11"/>
  </w:num>
  <w:num w:numId="9">
    <w:abstractNumId w:val="2"/>
  </w:num>
  <w:num w:numId="10">
    <w:abstractNumId w:val="15"/>
  </w:num>
  <w:num w:numId="11">
    <w:abstractNumId w:val="6"/>
  </w:num>
  <w:num w:numId="12">
    <w:abstractNumId w:val="3"/>
  </w:num>
  <w:num w:numId="13">
    <w:abstractNumId w:val="4"/>
  </w:num>
  <w:num w:numId="14">
    <w:abstractNumId w:val="10"/>
  </w:num>
  <w:num w:numId="15">
    <w:abstractNumId w:val="1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220DD"/>
    <w:rsid w:val="00023BDF"/>
    <w:rsid w:val="000362EF"/>
    <w:rsid w:val="00045C9C"/>
    <w:rsid w:val="00045F47"/>
    <w:rsid w:val="00047282"/>
    <w:rsid w:val="0007311D"/>
    <w:rsid w:val="00086319"/>
    <w:rsid w:val="00093ACC"/>
    <w:rsid w:val="00095936"/>
    <w:rsid w:val="000A267E"/>
    <w:rsid w:val="000A6CE7"/>
    <w:rsid w:val="000B65C7"/>
    <w:rsid w:val="000C38EE"/>
    <w:rsid w:val="000D32EB"/>
    <w:rsid w:val="000E20AF"/>
    <w:rsid w:val="000E33BA"/>
    <w:rsid w:val="000E33FB"/>
    <w:rsid w:val="000F6CC2"/>
    <w:rsid w:val="000F750C"/>
    <w:rsid w:val="00100BDA"/>
    <w:rsid w:val="00102353"/>
    <w:rsid w:val="00103B57"/>
    <w:rsid w:val="00103CFF"/>
    <w:rsid w:val="00106523"/>
    <w:rsid w:val="00114EE0"/>
    <w:rsid w:val="0012627D"/>
    <w:rsid w:val="00131A55"/>
    <w:rsid w:val="001338DB"/>
    <w:rsid w:val="00142015"/>
    <w:rsid w:val="00142599"/>
    <w:rsid w:val="00142D0C"/>
    <w:rsid w:val="00147C5F"/>
    <w:rsid w:val="00152760"/>
    <w:rsid w:val="00155AE9"/>
    <w:rsid w:val="00165988"/>
    <w:rsid w:val="00167C23"/>
    <w:rsid w:val="00183067"/>
    <w:rsid w:val="00185FCF"/>
    <w:rsid w:val="0019186D"/>
    <w:rsid w:val="00191D7D"/>
    <w:rsid w:val="00195BA1"/>
    <w:rsid w:val="001A6E46"/>
    <w:rsid w:val="001A743C"/>
    <w:rsid w:val="001B450B"/>
    <w:rsid w:val="001B46E9"/>
    <w:rsid w:val="001B4929"/>
    <w:rsid w:val="001C1838"/>
    <w:rsid w:val="001C40DE"/>
    <w:rsid w:val="001C4100"/>
    <w:rsid w:val="001C65A9"/>
    <w:rsid w:val="001D7887"/>
    <w:rsid w:val="001E6404"/>
    <w:rsid w:val="001F2A46"/>
    <w:rsid w:val="001F5D6D"/>
    <w:rsid w:val="0020344F"/>
    <w:rsid w:val="00203677"/>
    <w:rsid w:val="00220DA8"/>
    <w:rsid w:val="00223EA8"/>
    <w:rsid w:val="0023663F"/>
    <w:rsid w:val="00245527"/>
    <w:rsid w:val="00250BA2"/>
    <w:rsid w:val="00262F29"/>
    <w:rsid w:val="0026487A"/>
    <w:rsid w:val="00265358"/>
    <w:rsid w:val="00273328"/>
    <w:rsid w:val="002820AB"/>
    <w:rsid w:val="00282D6C"/>
    <w:rsid w:val="002A1224"/>
    <w:rsid w:val="002A19B6"/>
    <w:rsid w:val="002A3009"/>
    <w:rsid w:val="002A564B"/>
    <w:rsid w:val="002B01D3"/>
    <w:rsid w:val="002C0149"/>
    <w:rsid w:val="002C36E5"/>
    <w:rsid w:val="002C69C9"/>
    <w:rsid w:val="002D4089"/>
    <w:rsid w:val="002D6158"/>
    <w:rsid w:val="002F551D"/>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7AD"/>
    <w:rsid w:val="003A1305"/>
    <w:rsid w:val="003A234F"/>
    <w:rsid w:val="003A35D1"/>
    <w:rsid w:val="003A5CDA"/>
    <w:rsid w:val="003A6D30"/>
    <w:rsid w:val="003B2F92"/>
    <w:rsid w:val="003B47D3"/>
    <w:rsid w:val="003B509C"/>
    <w:rsid w:val="003B5271"/>
    <w:rsid w:val="003B5B33"/>
    <w:rsid w:val="003B62B4"/>
    <w:rsid w:val="003B7A94"/>
    <w:rsid w:val="003E1FFC"/>
    <w:rsid w:val="003E3F4D"/>
    <w:rsid w:val="003E6164"/>
    <w:rsid w:val="004022C2"/>
    <w:rsid w:val="004031B0"/>
    <w:rsid w:val="004104A8"/>
    <w:rsid w:val="00421BE2"/>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219C"/>
    <w:rsid w:val="004B3F79"/>
    <w:rsid w:val="004C5917"/>
    <w:rsid w:val="004F6ECF"/>
    <w:rsid w:val="0050153C"/>
    <w:rsid w:val="005136AB"/>
    <w:rsid w:val="00523149"/>
    <w:rsid w:val="0053243C"/>
    <w:rsid w:val="00534D59"/>
    <w:rsid w:val="00545BF8"/>
    <w:rsid w:val="005534D9"/>
    <w:rsid w:val="00560A7A"/>
    <w:rsid w:val="00571727"/>
    <w:rsid w:val="00572ACA"/>
    <w:rsid w:val="00574AF2"/>
    <w:rsid w:val="0058443D"/>
    <w:rsid w:val="00585363"/>
    <w:rsid w:val="00595F5F"/>
    <w:rsid w:val="005A42B3"/>
    <w:rsid w:val="005A4860"/>
    <w:rsid w:val="005B3F84"/>
    <w:rsid w:val="005B5337"/>
    <w:rsid w:val="005C52BE"/>
    <w:rsid w:val="005C5C73"/>
    <w:rsid w:val="005D0C18"/>
    <w:rsid w:val="005D56DA"/>
    <w:rsid w:val="005D71EC"/>
    <w:rsid w:val="005E2C94"/>
    <w:rsid w:val="005E35D2"/>
    <w:rsid w:val="005E5427"/>
    <w:rsid w:val="005F0CD7"/>
    <w:rsid w:val="005F1EA6"/>
    <w:rsid w:val="005F366F"/>
    <w:rsid w:val="006037FB"/>
    <w:rsid w:val="00606EB8"/>
    <w:rsid w:val="00610D92"/>
    <w:rsid w:val="00614B22"/>
    <w:rsid w:val="006150A8"/>
    <w:rsid w:val="00617806"/>
    <w:rsid w:val="00623EDB"/>
    <w:rsid w:val="0062546A"/>
    <w:rsid w:val="00625B35"/>
    <w:rsid w:val="00626565"/>
    <w:rsid w:val="006273C7"/>
    <w:rsid w:val="00630310"/>
    <w:rsid w:val="006437FF"/>
    <w:rsid w:val="00643CDE"/>
    <w:rsid w:val="00660B22"/>
    <w:rsid w:val="00664198"/>
    <w:rsid w:val="0067197F"/>
    <w:rsid w:val="0067659E"/>
    <w:rsid w:val="00676996"/>
    <w:rsid w:val="00677B13"/>
    <w:rsid w:val="006955DC"/>
    <w:rsid w:val="006A109C"/>
    <w:rsid w:val="006A31DC"/>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2C1F"/>
    <w:rsid w:val="0072360D"/>
    <w:rsid w:val="007303A5"/>
    <w:rsid w:val="007317B6"/>
    <w:rsid w:val="00733C81"/>
    <w:rsid w:val="007344D8"/>
    <w:rsid w:val="00740CEB"/>
    <w:rsid w:val="00742585"/>
    <w:rsid w:val="00743B0E"/>
    <w:rsid w:val="007442EB"/>
    <w:rsid w:val="007502BB"/>
    <w:rsid w:val="00752E6C"/>
    <w:rsid w:val="007549DF"/>
    <w:rsid w:val="00756BAA"/>
    <w:rsid w:val="00764006"/>
    <w:rsid w:val="00764B56"/>
    <w:rsid w:val="007663DF"/>
    <w:rsid w:val="00775A54"/>
    <w:rsid w:val="00776267"/>
    <w:rsid w:val="007771C5"/>
    <w:rsid w:val="00780173"/>
    <w:rsid w:val="00787E86"/>
    <w:rsid w:val="007927AE"/>
    <w:rsid w:val="00794459"/>
    <w:rsid w:val="007A0C76"/>
    <w:rsid w:val="007A54A1"/>
    <w:rsid w:val="007B1786"/>
    <w:rsid w:val="007B1C97"/>
    <w:rsid w:val="007B362F"/>
    <w:rsid w:val="007B630A"/>
    <w:rsid w:val="007C0613"/>
    <w:rsid w:val="007C1E1D"/>
    <w:rsid w:val="007C7364"/>
    <w:rsid w:val="007D08F3"/>
    <w:rsid w:val="007D0E42"/>
    <w:rsid w:val="007D148B"/>
    <w:rsid w:val="007D6ACE"/>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60B5B"/>
    <w:rsid w:val="00860C5A"/>
    <w:rsid w:val="00862B89"/>
    <w:rsid w:val="00870A0F"/>
    <w:rsid w:val="0087183E"/>
    <w:rsid w:val="00874136"/>
    <w:rsid w:val="00884364"/>
    <w:rsid w:val="0088695A"/>
    <w:rsid w:val="00894DA5"/>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9006FC"/>
    <w:rsid w:val="00903DEA"/>
    <w:rsid w:val="0090593C"/>
    <w:rsid w:val="00912C82"/>
    <w:rsid w:val="00914596"/>
    <w:rsid w:val="00920D0B"/>
    <w:rsid w:val="009242D9"/>
    <w:rsid w:val="009248C3"/>
    <w:rsid w:val="009275F8"/>
    <w:rsid w:val="009321FE"/>
    <w:rsid w:val="00963BEA"/>
    <w:rsid w:val="00970363"/>
    <w:rsid w:val="009768AC"/>
    <w:rsid w:val="009805A6"/>
    <w:rsid w:val="00981E8E"/>
    <w:rsid w:val="00986D52"/>
    <w:rsid w:val="00997C23"/>
    <w:rsid w:val="009A206D"/>
    <w:rsid w:val="009A5277"/>
    <w:rsid w:val="009A61A0"/>
    <w:rsid w:val="009B1F27"/>
    <w:rsid w:val="009B268D"/>
    <w:rsid w:val="009B6420"/>
    <w:rsid w:val="009C0293"/>
    <w:rsid w:val="009D1BC4"/>
    <w:rsid w:val="009E2033"/>
    <w:rsid w:val="009E4C9B"/>
    <w:rsid w:val="009E79F0"/>
    <w:rsid w:val="00A00CCD"/>
    <w:rsid w:val="00A01BF4"/>
    <w:rsid w:val="00A035F1"/>
    <w:rsid w:val="00A06684"/>
    <w:rsid w:val="00A22B75"/>
    <w:rsid w:val="00A34171"/>
    <w:rsid w:val="00A35831"/>
    <w:rsid w:val="00A471EA"/>
    <w:rsid w:val="00A510C0"/>
    <w:rsid w:val="00A575D3"/>
    <w:rsid w:val="00A63795"/>
    <w:rsid w:val="00A67E5B"/>
    <w:rsid w:val="00A72304"/>
    <w:rsid w:val="00A874D1"/>
    <w:rsid w:val="00A97BFD"/>
    <w:rsid w:val="00AA055D"/>
    <w:rsid w:val="00AA52E5"/>
    <w:rsid w:val="00AA7624"/>
    <w:rsid w:val="00AB2EE2"/>
    <w:rsid w:val="00AC41C7"/>
    <w:rsid w:val="00AC55E3"/>
    <w:rsid w:val="00AD2A6E"/>
    <w:rsid w:val="00AD3796"/>
    <w:rsid w:val="00AE188F"/>
    <w:rsid w:val="00AE2387"/>
    <w:rsid w:val="00AE4CB5"/>
    <w:rsid w:val="00AE5111"/>
    <w:rsid w:val="00AF2210"/>
    <w:rsid w:val="00AF330A"/>
    <w:rsid w:val="00B017A3"/>
    <w:rsid w:val="00B03B65"/>
    <w:rsid w:val="00B06010"/>
    <w:rsid w:val="00B1229D"/>
    <w:rsid w:val="00B23EE6"/>
    <w:rsid w:val="00B256B5"/>
    <w:rsid w:val="00B31125"/>
    <w:rsid w:val="00B41D07"/>
    <w:rsid w:val="00B4317D"/>
    <w:rsid w:val="00B4759A"/>
    <w:rsid w:val="00B64272"/>
    <w:rsid w:val="00B64531"/>
    <w:rsid w:val="00B74D4F"/>
    <w:rsid w:val="00B8155C"/>
    <w:rsid w:val="00B932A7"/>
    <w:rsid w:val="00B95BAE"/>
    <w:rsid w:val="00BB3138"/>
    <w:rsid w:val="00BB73BD"/>
    <w:rsid w:val="00BC12AE"/>
    <w:rsid w:val="00BC67B9"/>
    <w:rsid w:val="00BD53E1"/>
    <w:rsid w:val="00BD5BE0"/>
    <w:rsid w:val="00BE05A5"/>
    <w:rsid w:val="00BE0D07"/>
    <w:rsid w:val="00BE0EBD"/>
    <w:rsid w:val="00C06703"/>
    <w:rsid w:val="00C07327"/>
    <w:rsid w:val="00C1252C"/>
    <w:rsid w:val="00C13257"/>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3A0D"/>
    <w:rsid w:val="00C65F60"/>
    <w:rsid w:val="00C668EB"/>
    <w:rsid w:val="00C83128"/>
    <w:rsid w:val="00C834F9"/>
    <w:rsid w:val="00C843AC"/>
    <w:rsid w:val="00C84540"/>
    <w:rsid w:val="00C8748C"/>
    <w:rsid w:val="00CA4E1A"/>
    <w:rsid w:val="00CA5A78"/>
    <w:rsid w:val="00CA5C99"/>
    <w:rsid w:val="00CC797E"/>
    <w:rsid w:val="00CD6174"/>
    <w:rsid w:val="00CE38E3"/>
    <w:rsid w:val="00CE57C8"/>
    <w:rsid w:val="00CE5C9C"/>
    <w:rsid w:val="00D01632"/>
    <w:rsid w:val="00D024D9"/>
    <w:rsid w:val="00D0311C"/>
    <w:rsid w:val="00D1043D"/>
    <w:rsid w:val="00D10B90"/>
    <w:rsid w:val="00D119C3"/>
    <w:rsid w:val="00D21DC4"/>
    <w:rsid w:val="00D25CDB"/>
    <w:rsid w:val="00D260D1"/>
    <w:rsid w:val="00D37213"/>
    <w:rsid w:val="00D50250"/>
    <w:rsid w:val="00D575CA"/>
    <w:rsid w:val="00D60658"/>
    <w:rsid w:val="00D66FB8"/>
    <w:rsid w:val="00D72569"/>
    <w:rsid w:val="00D745F5"/>
    <w:rsid w:val="00D77C93"/>
    <w:rsid w:val="00D85C8C"/>
    <w:rsid w:val="00D92EC2"/>
    <w:rsid w:val="00D94CE5"/>
    <w:rsid w:val="00D94F09"/>
    <w:rsid w:val="00D95EBF"/>
    <w:rsid w:val="00D97889"/>
    <w:rsid w:val="00D9788A"/>
    <w:rsid w:val="00DA2DD2"/>
    <w:rsid w:val="00DA7496"/>
    <w:rsid w:val="00DB3994"/>
    <w:rsid w:val="00DB5508"/>
    <w:rsid w:val="00DC3412"/>
    <w:rsid w:val="00DC4071"/>
    <w:rsid w:val="00DD2A0D"/>
    <w:rsid w:val="00DD36CD"/>
    <w:rsid w:val="00DE10C1"/>
    <w:rsid w:val="00DF270B"/>
    <w:rsid w:val="00DF36AC"/>
    <w:rsid w:val="00DF637D"/>
    <w:rsid w:val="00DF6D64"/>
    <w:rsid w:val="00E041E4"/>
    <w:rsid w:val="00E171CE"/>
    <w:rsid w:val="00E21D57"/>
    <w:rsid w:val="00E23FA8"/>
    <w:rsid w:val="00E2631D"/>
    <w:rsid w:val="00E27912"/>
    <w:rsid w:val="00E33AA2"/>
    <w:rsid w:val="00E3431A"/>
    <w:rsid w:val="00E44BB9"/>
    <w:rsid w:val="00E47420"/>
    <w:rsid w:val="00E52190"/>
    <w:rsid w:val="00E5359E"/>
    <w:rsid w:val="00E54675"/>
    <w:rsid w:val="00E56A1B"/>
    <w:rsid w:val="00E63BC3"/>
    <w:rsid w:val="00E63DE2"/>
    <w:rsid w:val="00E66E08"/>
    <w:rsid w:val="00E72BB5"/>
    <w:rsid w:val="00E8292C"/>
    <w:rsid w:val="00E8471F"/>
    <w:rsid w:val="00E91F09"/>
    <w:rsid w:val="00E927FC"/>
    <w:rsid w:val="00E967EB"/>
    <w:rsid w:val="00EA410B"/>
    <w:rsid w:val="00EB4632"/>
    <w:rsid w:val="00EB6E2E"/>
    <w:rsid w:val="00EC09AC"/>
    <w:rsid w:val="00EC1320"/>
    <w:rsid w:val="00EC6AA7"/>
    <w:rsid w:val="00ED5843"/>
    <w:rsid w:val="00EF3956"/>
    <w:rsid w:val="00EF4501"/>
    <w:rsid w:val="00EF740E"/>
    <w:rsid w:val="00F04DCF"/>
    <w:rsid w:val="00F10C10"/>
    <w:rsid w:val="00F174AB"/>
    <w:rsid w:val="00F23093"/>
    <w:rsid w:val="00F30444"/>
    <w:rsid w:val="00F35FAE"/>
    <w:rsid w:val="00F361BB"/>
    <w:rsid w:val="00F55627"/>
    <w:rsid w:val="00F56EB8"/>
    <w:rsid w:val="00F61210"/>
    <w:rsid w:val="00F61E1A"/>
    <w:rsid w:val="00F62691"/>
    <w:rsid w:val="00F82E3A"/>
    <w:rsid w:val="00F90859"/>
    <w:rsid w:val="00F9169E"/>
    <w:rsid w:val="00FA6051"/>
    <w:rsid w:val="00FB0EAC"/>
    <w:rsid w:val="00FC6563"/>
    <w:rsid w:val="00FC7686"/>
    <w:rsid w:val="00FD25D7"/>
    <w:rsid w:val="00FD66D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2E753"/>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B2DF-72A7-4536-A36F-A5ED7D921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717</Words>
  <Characters>3944</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11</cp:revision>
  <cp:lastPrinted>2019-02-21T13:46:00Z</cp:lastPrinted>
  <dcterms:created xsi:type="dcterms:W3CDTF">2019-04-05T14:48:00Z</dcterms:created>
  <dcterms:modified xsi:type="dcterms:W3CDTF">2019-04-08T13:51:00Z</dcterms:modified>
</cp:coreProperties>
</file>