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47" w:rsidRDefault="00AA6647" w:rsidP="00AA6647">
      <w:pPr>
        <w:rPr>
          <w:rFonts w:cs="Arial"/>
          <w:b/>
          <w:sz w:val="28"/>
          <w:szCs w:val="28"/>
          <w:lang w:val="fr-FR"/>
        </w:rPr>
      </w:pPr>
      <w:r w:rsidRPr="00AA6647">
        <w:rPr>
          <w:rFonts w:cs="Arial"/>
          <w:b/>
          <w:sz w:val="28"/>
          <w:szCs w:val="28"/>
          <w:lang w:val="fr-FR"/>
        </w:rPr>
        <w:t>TGW célèbre son 50</w:t>
      </w:r>
      <w:r w:rsidR="00917BF2">
        <w:rPr>
          <w:rFonts w:cs="Arial"/>
          <w:b/>
          <w:sz w:val="28"/>
          <w:szCs w:val="28"/>
          <w:lang w:val="fr-FR"/>
        </w:rPr>
        <w:t>ème</w:t>
      </w:r>
      <w:r w:rsidRPr="00AA6647">
        <w:rPr>
          <w:rFonts w:cs="Arial"/>
          <w:b/>
          <w:sz w:val="28"/>
          <w:szCs w:val="28"/>
          <w:lang w:val="fr-FR"/>
        </w:rPr>
        <w:t xml:space="preserve"> anniversaire</w:t>
      </w:r>
    </w:p>
    <w:p w:rsidR="00934E46" w:rsidRDefault="00934E46" w:rsidP="00AA6647">
      <w:pPr>
        <w:rPr>
          <w:rFonts w:cs="Arial"/>
          <w:szCs w:val="20"/>
          <w:lang w:val="fr-FR"/>
        </w:rPr>
      </w:pPr>
    </w:p>
    <w:p w:rsidR="00AA6647" w:rsidRPr="00934E46" w:rsidRDefault="00AA6647" w:rsidP="00AA6647">
      <w:pPr>
        <w:rPr>
          <w:rFonts w:cs="Arial"/>
          <w:szCs w:val="20"/>
          <w:lang w:val="fr-FR"/>
        </w:rPr>
      </w:pPr>
      <w:r w:rsidRPr="00934E46">
        <w:rPr>
          <w:rFonts w:cs="Arial"/>
          <w:szCs w:val="20"/>
          <w:lang w:val="fr-FR"/>
        </w:rPr>
        <w:t>Les racines de TGW remontent à 1969, lorsque Ludwig Szinicz et Heinz König ont repris un petit atelier de travail des métaux à Wels</w:t>
      </w:r>
      <w:r w:rsidR="00CA490D">
        <w:rPr>
          <w:rFonts w:cs="Arial"/>
          <w:szCs w:val="20"/>
          <w:lang w:val="fr-FR"/>
        </w:rPr>
        <w:t xml:space="preserve"> en Autriche</w:t>
      </w:r>
      <w:r w:rsidRPr="00934E46">
        <w:rPr>
          <w:rFonts w:cs="Arial"/>
          <w:szCs w:val="20"/>
          <w:lang w:val="fr-FR"/>
        </w:rPr>
        <w:t>. Avec dix employés, l'entreprise fabrique des chariots de préparation de commandes, des brouettes et des remorques pour poids lourds. TGW a développé les premières bandes transporteuses de l'histoire de l'entreprise pour un détaillant autrichien de vente par correspondance en 1970. Ce</w:t>
      </w:r>
      <w:r w:rsidR="00917BF2">
        <w:rPr>
          <w:rFonts w:cs="Arial"/>
          <w:szCs w:val="20"/>
          <w:lang w:val="fr-FR"/>
        </w:rPr>
        <w:t>s premiers pas ont posé</w:t>
      </w:r>
      <w:r w:rsidRPr="00934E46">
        <w:rPr>
          <w:rFonts w:cs="Arial"/>
          <w:szCs w:val="20"/>
          <w:lang w:val="fr-FR"/>
        </w:rPr>
        <w:t xml:space="preserve"> les bases d'une histoire à succès de l'intralogistique.</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 xml:space="preserve">Depuis lors, TGW s'est entièrement concentrée sur l'intralogistique. La gamme de produits s'est progressivement élargie avec des produits innovants tels que des systèmes de convoyage, des </w:t>
      </w:r>
      <w:r w:rsidR="00CA490D">
        <w:rPr>
          <w:rFonts w:cs="Arial"/>
          <w:szCs w:val="20"/>
          <w:lang w:val="fr-FR"/>
        </w:rPr>
        <w:t>transtockeurs</w:t>
      </w:r>
      <w:r w:rsidRPr="00934E46">
        <w:rPr>
          <w:rFonts w:cs="Arial"/>
          <w:szCs w:val="20"/>
          <w:lang w:val="fr-FR"/>
        </w:rPr>
        <w:t xml:space="preserve"> et des systèmes de stockage.</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L'entreprise connaît une croissance continue et compte bientôt plusieurs centaines d'employés. Au début des années 2000, TGW est devenu un fabricant de renommée internationale de sous-systèmes mécatroniques pour la logistique interne. Les produits de Wels jouissent d'une excellente réputation dans l'industrie, d'une technologie sophistiquée et d'une grande fiabilité.</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b/>
          <w:szCs w:val="20"/>
          <w:lang w:val="fr-FR"/>
        </w:rPr>
      </w:pPr>
      <w:r w:rsidRPr="00934E46">
        <w:rPr>
          <w:rFonts w:cs="Arial"/>
          <w:b/>
          <w:szCs w:val="20"/>
          <w:lang w:val="fr-FR"/>
        </w:rPr>
        <w:t>La voie pour devenir un intégrateur de systèmes</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 xml:space="preserve">Les années suivantes ont été marquées par un changement </w:t>
      </w:r>
      <w:r w:rsidR="00452A5A" w:rsidRPr="00934E46">
        <w:rPr>
          <w:rFonts w:cs="Arial"/>
          <w:szCs w:val="20"/>
          <w:lang w:val="fr-FR"/>
        </w:rPr>
        <w:t xml:space="preserve">fondamental </w:t>
      </w:r>
      <w:r w:rsidRPr="00934E46">
        <w:rPr>
          <w:rFonts w:cs="Arial"/>
          <w:szCs w:val="20"/>
          <w:lang w:val="fr-FR"/>
        </w:rPr>
        <w:t xml:space="preserve">de stratégie qui </w:t>
      </w:r>
      <w:r w:rsidR="00452A5A">
        <w:rPr>
          <w:rFonts w:cs="Arial"/>
          <w:szCs w:val="20"/>
          <w:lang w:val="fr-FR"/>
        </w:rPr>
        <w:t>fut</w:t>
      </w:r>
      <w:r w:rsidRPr="00934E46">
        <w:rPr>
          <w:rFonts w:cs="Arial"/>
          <w:szCs w:val="20"/>
          <w:lang w:val="fr-FR"/>
        </w:rPr>
        <w:t xml:space="preserve"> d'une importance capitale pour le développement futur de TGW. L'entreprise est passée du statut de fabricant de sous-systèmes mécatroniques à celui d'intégrateur de systèmes. L'entreprise ne se contente </w:t>
      </w:r>
      <w:r w:rsidR="00452A5A">
        <w:rPr>
          <w:rFonts w:cs="Arial"/>
          <w:szCs w:val="20"/>
          <w:lang w:val="fr-FR"/>
        </w:rPr>
        <w:t xml:space="preserve">alors </w:t>
      </w:r>
      <w:r w:rsidRPr="00934E46">
        <w:rPr>
          <w:rFonts w:cs="Arial"/>
          <w:szCs w:val="20"/>
          <w:lang w:val="fr-FR"/>
        </w:rPr>
        <w:t>plus d'approvisionner d'autres entreprises, mais planifie e</w:t>
      </w:r>
      <w:r w:rsidR="00917BF2">
        <w:rPr>
          <w:rFonts w:cs="Arial"/>
          <w:szCs w:val="20"/>
          <w:lang w:val="fr-FR"/>
        </w:rPr>
        <w:t>t réalise elle-même, en tant que partenaire global</w:t>
      </w:r>
      <w:r w:rsidRPr="00934E46">
        <w:rPr>
          <w:rFonts w:cs="Arial"/>
          <w:szCs w:val="20"/>
          <w:lang w:val="fr-FR"/>
        </w:rPr>
        <w:t>, des centres logistiques très complexes</w:t>
      </w:r>
      <w:r w:rsidR="00452A5A">
        <w:rPr>
          <w:rFonts w:cs="Arial"/>
          <w:szCs w:val="20"/>
          <w:lang w:val="fr-FR"/>
        </w:rPr>
        <w:t xml:space="preserve"> clé en main</w:t>
      </w:r>
      <w:r w:rsidRPr="00934E46">
        <w:rPr>
          <w:rFonts w:cs="Arial"/>
          <w:szCs w:val="20"/>
          <w:lang w:val="fr-FR"/>
        </w:rPr>
        <w:t>.</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 xml:space="preserve">En conséquence, de plus en plus de clients font confiance à l'expertise de </w:t>
      </w:r>
      <w:r w:rsidR="00452A5A">
        <w:rPr>
          <w:rFonts w:cs="Arial"/>
          <w:szCs w:val="20"/>
          <w:lang w:val="fr-FR"/>
        </w:rPr>
        <w:t>TGW</w:t>
      </w:r>
      <w:r w:rsidRPr="00934E46">
        <w:rPr>
          <w:rFonts w:cs="Arial"/>
          <w:szCs w:val="20"/>
          <w:lang w:val="fr-FR"/>
        </w:rPr>
        <w:t xml:space="preserve">, y compris des marques mondiales telles que Adidas, Coop, Kärcher, Skechers </w:t>
      </w:r>
      <w:r w:rsidR="00452A5A">
        <w:rPr>
          <w:rFonts w:cs="Arial"/>
          <w:szCs w:val="20"/>
          <w:lang w:val="fr-FR"/>
        </w:rPr>
        <w:t xml:space="preserve">ou encore </w:t>
      </w:r>
      <w:r w:rsidRPr="00934E46">
        <w:rPr>
          <w:rFonts w:cs="Arial"/>
          <w:szCs w:val="20"/>
          <w:lang w:val="fr-FR"/>
        </w:rPr>
        <w:t>Zalando. Cela implique également l'internationalisation de l'entreprise.</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 xml:space="preserve">Aujourd'hui, TGW possède des </w:t>
      </w:r>
      <w:r w:rsidR="00917BF2">
        <w:rPr>
          <w:rFonts w:cs="Arial"/>
          <w:szCs w:val="20"/>
          <w:lang w:val="fr-FR"/>
        </w:rPr>
        <w:t>entités</w:t>
      </w:r>
      <w:r w:rsidRPr="00934E46">
        <w:rPr>
          <w:rFonts w:cs="Arial"/>
          <w:szCs w:val="20"/>
          <w:lang w:val="fr-FR"/>
        </w:rPr>
        <w:t xml:space="preserve"> en Europe, aux États-Unis et en Chine et emploie plus de 3 500 personnes dans le monde.  Au cours de l'exercice 2018/2019, la société a réalisé un chiffre d'affaires de 719,6 millions d'euros (communiqué de presse)</w:t>
      </w:r>
      <w:r w:rsidR="00917BF2">
        <w:rPr>
          <w:rFonts w:cs="Arial"/>
          <w:szCs w:val="20"/>
          <w:lang w:val="fr-FR"/>
        </w:rPr>
        <w:t>.</w:t>
      </w:r>
    </w:p>
    <w:p w:rsidR="00AA6647" w:rsidRPr="00934E46" w:rsidRDefault="00AA6647" w:rsidP="00AA6647">
      <w:pPr>
        <w:rPr>
          <w:rFonts w:cs="Arial"/>
          <w:szCs w:val="20"/>
          <w:lang w:val="fr-FR"/>
        </w:rPr>
      </w:pPr>
      <w:r w:rsidRPr="00934E46">
        <w:rPr>
          <w:rFonts w:cs="Arial"/>
          <w:szCs w:val="20"/>
          <w:lang w:val="fr-FR"/>
        </w:rPr>
        <w:t xml:space="preserve"> </w:t>
      </w:r>
    </w:p>
    <w:p w:rsidR="00AA6647" w:rsidRPr="00452A5A" w:rsidRDefault="00AA6647" w:rsidP="00AA6647">
      <w:pPr>
        <w:rPr>
          <w:rFonts w:cs="Arial"/>
          <w:b/>
          <w:szCs w:val="20"/>
          <w:lang w:val="fr-FR"/>
        </w:rPr>
      </w:pPr>
      <w:r w:rsidRPr="00452A5A">
        <w:rPr>
          <w:rFonts w:cs="Arial"/>
          <w:b/>
          <w:szCs w:val="20"/>
          <w:lang w:val="fr-FR"/>
        </w:rPr>
        <w:t>TGW Future Private Foundation assure la stabilité</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 xml:space="preserve">La caractéristique unique de TGW est sa structure. Le fondateur Ludwig Szinicz voulait s'assurer que TGW resterait une entreprise stable et indépendante, même après </w:t>
      </w:r>
      <w:r w:rsidR="00452A5A">
        <w:rPr>
          <w:rFonts w:cs="Arial"/>
          <w:szCs w:val="20"/>
          <w:lang w:val="fr-FR"/>
        </w:rPr>
        <w:t xml:space="preserve">son départ </w:t>
      </w:r>
      <w:r w:rsidRPr="00934E46">
        <w:rPr>
          <w:rFonts w:cs="Arial"/>
          <w:szCs w:val="20"/>
          <w:lang w:val="fr-FR"/>
        </w:rPr>
        <w:t xml:space="preserve">de la direction des </w:t>
      </w:r>
      <w:r w:rsidR="00452A5A">
        <w:rPr>
          <w:rFonts w:cs="Arial"/>
          <w:szCs w:val="20"/>
          <w:lang w:val="fr-FR"/>
        </w:rPr>
        <w:t>opérations quotidiennes. C'est la raison pour laquelle,</w:t>
      </w:r>
      <w:r w:rsidRPr="00934E46">
        <w:rPr>
          <w:rFonts w:cs="Arial"/>
          <w:szCs w:val="20"/>
          <w:lang w:val="fr-FR"/>
        </w:rPr>
        <w:t xml:space="preserve"> il a </w:t>
      </w:r>
      <w:r w:rsidR="00917BF2" w:rsidRPr="00934E46">
        <w:rPr>
          <w:rFonts w:cs="Arial"/>
          <w:szCs w:val="20"/>
          <w:lang w:val="fr-FR"/>
        </w:rPr>
        <w:t>créé</w:t>
      </w:r>
      <w:r w:rsidRPr="00934E46">
        <w:rPr>
          <w:rFonts w:cs="Arial"/>
          <w:szCs w:val="20"/>
          <w:lang w:val="fr-FR"/>
        </w:rPr>
        <w:t xml:space="preserve"> la </w:t>
      </w:r>
      <w:r w:rsidR="00452A5A">
        <w:rPr>
          <w:rFonts w:cs="Arial"/>
          <w:szCs w:val="20"/>
          <w:lang w:val="fr-FR"/>
        </w:rPr>
        <w:t>fondation « </w:t>
      </w:r>
      <w:r w:rsidRPr="00934E46">
        <w:rPr>
          <w:rFonts w:cs="Arial"/>
          <w:szCs w:val="20"/>
          <w:lang w:val="fr-FR"/>
        </w:rPr>
        <w:t>TGW Future Private Foundation</w:t>
      </w:r>
      <w:r w:rsidR="00452A5A">
        <w:rPr>
          <w:rFonts w:cs="Arial"/>
          <w:szCs w:val="20"/>
          <w:lang w:val="fr-FR"/>
        </w:rPr>
        <w:t> »</w:t>
      </w:r>
      <w:r w:rsidRPr="00934E46">
        <w:rPr>
          <w:rFonts w:cs="Arial"/>
          <w:szCs w:val="20"/>
          <w:lang w:val="fr-FR"/>
        </w:rPr>
        <w:t xml:space="preserve"> en 2004 et</w:t>
      </w:r>
      <w:r w:rsidR="00452A5A">
        <w:rPr>
          <w:rFonts w:cs="Arial"/>
          <w:szCs w:val="20"/>
          <w:lang w:val="fr-FR"/>
        </w:rPr>
        <w:t xml:space="preserve"> lui a légué toutes ses parts de</w:t>
      </w:r>
      <w:r w:rsidRPr="00934E46">
        <w:rPr>
          <w:rFonts w:cs="Arial"/>
          <w:szCs w:val="20"/>
          <w:lang w:val="fr-FR"/>
        </w:rPr>
        <w:t xml:space="preserve"> l'entreprise spécialisée en intralogistique. Son intention était de garantir l'avenir à long terme et de veiller à ce que TGW continue à fonctionner conformément à sa philosophie "Focusing on People - Learning and Growing". </w:t>
      </w:r>
    </w:p>
    <w:p w:rsidR="00AA6647" w:rsidRPr="00934E46" w:rsidRDefault="00AA6647" w:rsidP="00AA6647">
      <w:pPr>
        <w:rPr>
          <w:rFonts w:cs="Arial"/>
          <w:szCs w:val="20"/>
          <w:lang w:val="fr-FR"/>
        </w:rPr>
      </w:pPr>
      <w:r w:rsidRPr="00934E46">
        <w:rPr>
          <w:rFonts w:cs="Arial"/>
          <w:szCs w:val="20"/>
          <w:lang w:val="fr-FR"/>
        </w:rPr>
        <w:t xml:space="preserve">  </w:t>
      </w:r>
    </w:p>
    <w:p w:rsidR="00AA6647" w:rsidRPr="00934E46" w:rsidRDefault="00AA6647" w:rsidP="00AA6647">
      <w:pPr>
        <w:rPr>
          <w:rFonts w:cs="Arial"/>
          <w:szCs w:val="20"/>
          <w:lang w:val="fr-FR"/>
        </w:rPr>
      </w:pPr>
      <w:r w:rsidRPr="00934E46">
        <w:rPr>
          <w:rFonts w:cs="Arial"/>
          <w:szCs w:val="20"/>
          <w:lang w:val="fr-FR"/>
        </w:rPr>
        <w:t xml:space="preserve">En tant que fondation, TGW ne peut être vendue. Les deux tiers des bénéfices restent dans l'entreprise et sont investis. Ainsi, TGW est un employeur et un partenaire fiable pour ses clients. La fondation soutient également les initiatives caritatives qui se concentrent principalement sur l'éducation et la formation professionnelle des jeunes. </w:t>
      </w:r>
    </w:p>
    <w:p w:rsidR="00AA6647" w:rsidRPr="00934E46" w:rsidRDefault="00AA6647" w:rsidP="00AA6647">
      <w:pPr>
        <w:rPr>
          <w:rFonts w:cs="Arial"/>
          <w:szCs w:val="20"/>
          <w:lang w:val="fr-FR"/>
        </w:rPr>
      </w:pPr>
    </w:p>
    <w:p w:rsidR="005E362F" w:rsidRDefault="005E362F" w:rsidP="005E362F">
      <w:pPr>
        <w:spacing w:line="240" w:lineRule="auto"/>
        <w:ind w:left="0" w:right="276"/>
        <w:rPr>
          <w:rFonts w:cs="Arial"/>
          <w:szCs w:val="20"/>
          <w:lang w:val="fr-FR"/>
        </w:rPr>
      </w:pPr>
    </w:p>
    <w:p w:rsidR="00AA6647" w:rsidRPr="005E362F" w:rsidRDefault="00AA6647" w:rsidP="005E362F">
      <w:pPr>
        <w:spacing w:line="240" w:lineRule="auto"/>
        <w:ind w:left="0" w:right="276"/>
        <w:rPr>
          <w:rFonts w:cs="Arial"/>
          <w:szCs w:val="20"/>
          <w:lang w:val="fr-FR"/>
        </w:rPr>
      </w:pPr>
    </w:p>
    <w:p w:rsidR="00560A7A" w:rsidRPr="00EC6AA7" w:rsidRDefault="00463F8E" w:rsidP="005E362F">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886507" w:rsidRDefault="00886507"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8E" w:rsidRDefault="00463F8E" w:rsidP="00764006">
      <w:pPr>
        <w:spacing w:line="240" w:lineRule="auto"/>
      </w:pPr>
      <w:r>
        <w:separator/>
      </w:r>
    </w:p>
  </w:endnote>
  <w:endnote w:type="continuationSeparator" w:id="0">
    <w:p w:rsidR="00463F8E" w:rsidRDefault="00463F8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565A8">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A565A8">
            <w:rPr>
              <w:noProof/>
              <w:sz w:val="16"/>
              <w:szCs w:val="16"/>
            </w:rPr>
            <w:t>2</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8E" w:rsidRDefault="00463F8E" w:rsidP="00764006">
      <w:pPr>
        <w:spacing w:line="240" w:lineRule="auto"/>
      </w:pPr>
      <w:r>
        <w:separator/>
      </w:r>
    </w:p>
  </w:footnote>
  <w:footnote w:type="continuationSeparator" w:id="0">
    <w:p w:rsidR="00463F8E" w:rsidRDefault="00463F8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A6219"/>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2A5A"/>
    <w:rsid w:val="00456A9F"/>
    <w:rsid w:val="004610E8"/>
    <w:rsid w:val="00462574"/>
    <w:rsid w:val="00463BC2"/>
    <w:rsid w:val="00463F8E"/>
    <w:rsid w:val="00464F70"/>
    <w:rsid w:val="00465400"/>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17BF2"/>
    <w:rsid w:val="00920D0B"/>
    <w:rsid w:val="009242D9"/>
    <w:rsid w:val="009248C3"/>
    <w:rsid w:val="009275F8"/>
    <w:rsid w:val="009321FE"/>
    <w:rsid w:val="00934BF1"/>
    <w:rsid w:val="00934E46"/>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407E9"/>
    <w:rsid w:val="00A471EA"/>
    <w:rsid w:val="00A510C0"/>
    <w:rsid w:val="00A565A8"/>
    <w:rsid w:val="00A575D3"/>
    <w:rsid w:val="00A63795"/>
    <w:rsid w:val="00A67E5B"/>
    <w:rsid w:val="00A72304"/>
    <w:rsid w:val="00A874D1"/>
    <w:rsid w:val="00A97BFD"/>
    <w:rsid w:val="00AA055D"/>
    <w:rsid w:val="00AA52E5"/>
    <w:rsid w:val="00AA6647"/>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90D"/>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185E"/>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2960C"/>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5D11-821C-4837-9E55-0889DF0B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3656</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2</cp:revision>
  <cp:lastPrinted>2019-02-21T13:46:00Z</cp:lastPrinted>
  <dcterms:created xsi:type="dcterms:W3CDTF">2019-11-15T15:53:00Z</dcterms:created>
  <dcterms:modified xsi:type="dcterms:W3CDTF">2019-11-15T15:53:00Z</dcterms:modified>
</cp:coreProperties>
</file>