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E6" w:rsidRPr="003F620F" w:rsidRDefault="00EF23E6" w:rsidP="00EF23E6">
      <w:pPr>
        <w:spacing w:line="240" w:lineRule="auto"/>
        <w:ind w:left="0" w:right="276"/>
        <w:rPr>
          <w:rFonts w:cs="Arial"/>
          <w:b/>
          <w:sz w:val="24"/>
          <w:szCs w:val="24"/>
          <w:lang w:val="fr-FR"/>
        </w:rPr>
      </w:pPr>
      <w:r w:rsidRPr="003F620F">
        <w:rPr>
          <w:rFonts w:cs="Arial"/>
          <w:b/>
          <w:sz w:val="24"/>
          <w:szCs w:val="24"/>
          <w:lang w:val="fr-FR"/>
        </w:rPr>
        <w:t>TGW Logistics Group</w:t>
      </w:r>
      <w:r w:rsidR="004C5FB2">
        <w:rPr>
          <w:rFonts w:cs="Arial"/>
          <w:b/>
          <w:sz w:val="24"/>
          <w:szCs w:val="24"/>
          <w:lang w:val="fr-FR"/>
        </w:rPr>
        <w:t xml:space="preserve"> fête ses </w:t>
      </w:r>
      <w:r w:rsidR="004C5FB2" w:rsidRPr="003F620F">
        <w:rPr>
          <w:rFonts w:cs="Arial"/>
          <w:b/>
          <w:sz w:val="24"/>
          <w:szCs w:val="24"/>
          <w:lang w:val="fr-FR"/>
        </w:rPr>
        <w:t xml:space="preserve">50 </w:t>
      </w:r>
      <w:bookmarkStart w:id="0" w:name="_GoBack"/>
      <w:bookmarkEnd w:id="0"/>
      <w:r w:rsidR="004C5FB2" w:rsidRPr="003F620F">
        <w:rPr>
          <w:rFonts w:cs="Arial"/>
          <w:b/>
          <w:sz w:val="24"/>
          <w:szCs w:val="24"/>
          <w:lang w:val="fr-FR"/>
        </w:rPr>
        <w:t>ans</w:t>
      </w: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 xml:space="preserve">"TGW est un employeur </w:t>
      </w:r>
      <w:r w:rsidR="00293615">
        <w:rPr>
          <w:rFonts w:cs="Arial"/>
          <w:sz w:val="24"/>
          <w:szCs w:val="24"/>
          <w:lang w:val="fr-FR"/>
        </w:rPr>
        <w:t>de confiance</w:t>
      </w:r>
      <w:r w:rsidRPr="00EF23E6">
        <w:rPr>
          <w:rFonts w:cs="Arial"/>
          <w:sz w:val="24"/>
          <w:szCs w:val="24"/>
          <w:lang w:val="fr-FR"/>
        </w:rPr>
        <w:t xml:space="preserve"> et un partenaire stable pour </w:t>
      </w:r>
      <w:r w:rsidR="003F620F">
        <w:rPr>
          <w:rFonts w:cs="Arial"/>
          <w:sz w:val="24"/>
          <w:szCs w:val="24"/>
          <w:lang w:val="fr-FR"/>
        </w:rPr>
        <w:t>ses</w:t>
      </w:r>
      <w:r w:rsidRPr="00EF23E6">
        <w:rPr>
          <w:rFonts w:cs="Arial"/>
          <w:sz w:val="24"/>
          <w:szCs w:val="24"/>
          <w:lang w:val="fr-FR"/>
        </w:rPr>
        <w:t xml:space="preserve"> clients et </w:t>
      </w:r>
      <w:r w:rsidR="003F620F">
        <w:rPr>
          <w:rFonts w:cs="Arial"/>
          <w:sz w:val="24"/>
          <w:szCs w:val="24"/>
          <w:lang w:val="fr-FR"/>
        </w:rPr>
        <w:t>ses</w:t>
      </w:r>
      <w:r w:rsidRPr="00EF23E6">
        <w:rPr>
          <w:rFonts w:cs="Arial"/>
          <w:sz w:val="24"/>
          <w:szCs w:val="24"/>
          <w:lang w:val="fr-FR"/>
        </w:rPr>
        <w:t xml:space="preserve"> fournisseurs."</w:t>
      </w: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Dans une interview accordée à l'occasion du 50e anniversaire du groupe TGW Logistics, Harald Schröpf, CEO, parle du développement réussi de l'entreprise, des points forts de la recherche et du développement et des défis futurs de l'entreprise autrichienne traditionnelle.</w:t>
      </w:r>
    </w:p>
    <w:p w:rsidR="00EF23E6" w:rsidRPr="00EF23E6" w:rsidRDefault="00EF23E6" w:rsidP="00EF23E6">
      <w:pPr>
        <w:spacing w:line="240" w:lineRule="auto"/>
        <w:ind w:left="0" w:right="276"/>
        <w:rPr>
          <w:rFonts w:cs="Arial"/>
          <w:sz w:val="24"/>
          <w:szCs w:val="24"/>
          <w:lang w:val="fr-FR"/>
        </w:rPr>
      </w:pPr>
    </w:p>
    <w:p w:rsidR="00EF23E6" w:rsidRPr="005455DD" w:rsidRDefault="00EF23E6" w:rsidP="00EF23E6">
      <w:pPr>
        <w:spacing w:line="240" w:lineRule="auto"/>
        <w:ind w:left="0" w:right="276"/>
        <w:rPr>
          <w:rFonts w:cs="Arial"/>
          <w:b/>
          <w:sz w:val="24"/>
          <w:szCs w:val="24"/>
          <w:lang w:val="fr-FR"/>
        </w:rPr>
      </w:pPr>
      <w:r w:rsidRPr="005455DD">
        <w:rPr>
          <w:rFonts w:cs="Arial"/>
          <w:b/>
          <w:sz w:val="24"/>
          <w:szCs w:val="24"/>
          <w:lang w:val="fr-FR"/>
        </w:rPr>
        <w:t>TGW célèbre son 50e anniversaire en 2019. Qu'en pensez-vous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Harald Schröpf : De nombreuses personnes ont largement contribué au succès de TGW, notamment nos fondateurs Ludwig Szinicz et Heinz König. En 1969, ils ont jeté les bases d'une histoire à succès dans le domaine de l'</w:t>
      </w:r>
      <w:r w:rsidR="00BF3F33">
        <w:rPr>
          <w:rFonts w:cs="Arial"/>
          <w:sz w:val="24"/>
          <w:szCs w:val="24"/>
          <w:lang w:val="fr-FR"/>
        </w:rPr>
        <w:t>intralogistique en reprenant un</w:t>
      </w:r>
      <w:r w:rsidRPr="00EF23E6">
        <w:rPr>
          <w:rFonts w:cs="Arial"/>
          <w:sz w:val="24"/>
          <w:szCs w:val="24"/>
          <w:lang w:val="fr-FR"/>
        </w:rPr>
        <w:t xml:space="preserve"> petit </w:t>
      </w:r>
      <w:r w:rsidR="00BF3F33">
        <w:rPr>
          <w:rFonts w:cs="Arial"/>
          <w:sz w:val="24"/>
          <w:szCs w:val="24"/>
          <w:lang w:val="fr-FR"/>
        </w:rPr>
        <w:t xml:space="preserve">atelier de </w:t>
      </w:r>
      <w:r w:rsidR="00BE154A">
        <w:rPr>
          <w:rFonts w:cs="Arial"/>
          <w:sz w:val="24"/>
          <w:szCs w:val="24"/>
          <w:lang w:val="fr-FR"/>
        </w:rPr>
        <w:t>travail des métaux</w:t>
      </w:r>
      <w:r w:rsidRPr="00EF23E6">
        <w:rPr>
          <w:rFonts w:cs="Arial"/>
          <w:sz w:val="24"/>
          <w:szCs w:val="24"/>
          <w:lang w:val="fr-FR"/>
        </w:rPr>
        <w:t xml:space="preserve"> à Wels. Au début, TGW - le nom vient d'ailleurs de Transportgeräte Wels - produisait des chariots de magasinage, des brouettes et des remorques pour poids lourds avec dix employés. En 1970, la première bande transporteuse de l'histoire de l'entreprise a été développée pour une entreprise autrichienne de vente par correspondance. C'était, pour ainsi dire, le point de départ de l'accent mis sur l'intralogistique. Dans les décennies qui ont suivi, de nombreux développements révolutionnaires ont suivi - le premier transstockeur de TGW, le Stingray Shuttle ou FlashPick®, la solution complète pour le prélèvement automatisé </w:t>
      </w:r>
      <w:r w:rsidR="003F620F">
        <w:rPr>
          <w:rFonts w:cs="Arial"/>
          <w:sz w:val="24"/>
          <w:szCs w:val="24"/>
          <w:lang w:val="fr-FR"/>
        </w:rPr>
        <w:t>de détail,</w:t>
      </w:r>
      <w:r w:rsidRPr="00EF23E6">
        <w:rPr>
          <w:rFonts w:cs="Arial"/>
          <w:sz w:val="24"/>
          <w:szCs w:val="24"/>
          <w:lang w:val="fr-FR"/>
        </w:rPr>
        <w:t xml:space="preserve"> pour n'en citer que quelques-uns.</w:t>
      </w:r>
    </w:p>
    <w:p w:rsidR="00EF23E6" w:rsidRPr="00EF23E6" w:rsidRDefault="00EF23E6" w:rsidP="00EF23E6">
      <w:pPr>
        <w:spacing w:line="240" w:lineRule="auto"/>
        <w:ind w:left="0" w:right="276"/>
        <w:rPr>
          <w:rFonts w:cs="Arial"/>
          <w:sz w:val="24"/>
          <w:szCs w:val="24"/>
          <w:lang w:val="fr-FR"/>
        </w:rPr>
      </w:pPr>
    </w:p>
    <w:p w:rsidR="00EF23E6" w:rsidRPr="005455DD" w:rsidRDefault="00EF23E6" w:rsidP="00EF23E6">
      <w:pPr>
        <w:spacing w:line="240" w:lineRule="auto"/>
        <w:ind w:left="0" w:right="276"/>
        <w:rPr>
          <w:rFonts w:cs="Arial"/>
          <w:b/>
          <w:sz w:val="24"/>
          <w:szCs w:val="24"/>
          <w:lang w:val="fr-FR"/>
        </w:rPr>
      </w:pPr>
      <w:r w:rsidRPr="005455DD">
        <w:rPr>
          <w:rFonts w:cs="Arial"/>
          <w:b/>
          <w:sz w:val="24"/>
          <w:szCs w:val="24"/>
          <w:lang w:val="fr-FR"/>
        </w:rPr>
        <w:t>Comment TGW s'est-elle développée au cours des cinq dernières décennies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 xml:space="preserve">TGW s'est développé à l'international et a doublé son chiffre d'affaires annuel </w:t>
      </w:r>
      <w:r w:rsidR="005455DD">
        <w:rPr>
          <w:rFonts w:cs="Arial"/>
          <w:sz w:val="24"/>
          <w:szCs w:val="24"/>
          <w:lang w:val="fr-FR"/>
        </w:rPr>
        <w:t>pour atteindre</w:t>
      </w:r>
      <w:r w:rsidRPr="00EF23E6">
        <w:rPr>
          <w:rFonts w:cs="Arial"/>
          <w:sz w:val="24"/>
          <w:szCs w:val="24"/>
          <w:lang w:val="fr-FR"/>
        </w:rPr>
        <w:t xml:space="preserve"> 719,6 millions d'euros en quelques années. Nous avons constamment ouvert de nouveaux marchés et nous nous concentrons sur l'Europe, les Etats-Unis et la Chine. Nous employons maintenant 3 600 spécialistes de 69 pays d'Europe, d'Asie et </w:t>
      </w:r>
      <w:r w:rsidRPr="00EF23E6">
        <w:rPr>
          <w:rFonts w:cs="Arial"/>
          <w:sz w:val="24"/>
          <w:szCs w:val="24"/>
          <w:lang w:val="fr-FR"/>
        </w:rPr>
        <w:lastRenderedPageBreak/>
        <w:t>d'Amérique du Nord. En tant qu'entreprise largement positionnée, nous jouons depuis des années un rôle international dans le peloton de tête de l'intralogistique.</w:t>
      </w:r>
    </w:p>
    <w:p w:rsidR="00EF23E6" w:rsidRPr="00EF23E6" w:rsidRDefault="00EF23E6" w:rsidP="00EF23E6">
      <w:pPr>
        <w:spacing w:line="240" w:lineRule="auto"/>
        <w:ind w:left="0" w:right="276"/>
        <w:rPr>
          <w:rFonts w:cs="Arial"/>
          <w:sz w:val="24"/>
          <w:szCs w:val="24"/>
          <w:lang w:val="fr-FR"/>
        </w:rPr>
      </w:pPr>
    </w:p>
    <w:p w:rsidR="00EF23E6" w:rsidRPr="005455DD" w:rsidRDefault="00EF23E6" w:rsidP="00EF23E6">
      <w:pPr>
        <w:spacing w:line="240" w:lineRule="auto"/>
        <w:ind w:left="0" w:right="276"/>
        <w:rPr>
          <w:rFonts w:cs="Arial"/>
          <w:b/>
          <w:sz w:val="24"/>
          <w:szCs w:val="24"/>
          <w:lang w:val="fr-FR"/>
        </w:rPr>
      </w:pPr>
      <w:r w:rsidRPr="005455DD">
        <w:rPr>
          <w:rFonts w:cs="Arial"/>
          <w:b/>
          <w:sz w:val="24"/>
          <w:szCs w:val="24"/>
          <w:lang w:val="fr-FR"/>
        </w:rPr>
        <w:t>Comment la perception de TGW a-t-elle changé dans l'industrie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Le passage d'un fournisseur purement mécanique à un intégrateur de systèmes a été d'une importance capitale pour le succès de notre développement. Depuis de nombreuses années, TGW est perçu et apprécié dans l'industrie comme un fournisseur de composants mécatroniques fiables et de haute qualité. Aujourd'hui, nous planifions et réalisons des centres logistiques très complexes dans le monde entier, en particulier en tant qu'entrepreneur général, et nous veillons à ce que les systèmes fournissent de manière fiable les performances garanties. Pour ce faire, nous avons acquis un grand savoir-faire : en matière de planification de solutions, de logiciels et de service</w:t>
      </w:r>
      <w:r w:rsidR="00293615">
        <w:rPr>
          <w:rFonts w:cs="Arial"/>
          <w:sz w:val="24"/>
          <w:szCs w:val="24"/>
          <w:lang w:val="fr-FR"/>
        </w:rPr>
        <w:t>s</w:t>
      </w:r>
      <w:r w:rsidRPr="00EF23E6">
        <w:rPr>
          <w:rFonts w:cs="Arial"/>
          <w:sz w:val="24"/>
          <w:szCs w:val="24"/>
          <w:lang w:val="fr-FR"/>
        </w:rPr>
        <w:t xml:space="preserve"> à la clientèle. Ces derniers mois, de nombreux clients internationaux ont confié à TGW l'automatisation de leur logistique interne. Avec le spécialiste d</w:t>
      </w:r>
      <w:r w:rsidR="005455DD">
        <w:rPr>
          <w:rFonts w:cs="Arial"/>
          <w:sz w:val="24"/>
          <w:szCs w:val="24"/>
          <w:lang w:val="fr-FR"/>
        </w:rPr>
        <w:t>’</w:t>
      </w:r>
      <w:r w:rsidRPr="00EF23E6">
        <w:rPr>
          <w:rFonts w:cs="Arial"/>
          <w:sz w:val="24"/>
          <w:szCs w:val="24"/>
          <w:lang w:val="fr-FR"/>
        </w:rPr>
        <w:t>articles de sport Puma, nous avons pu conclure l'une des commandes les plus importantes de l'histoire de notre entreprise avec un volume à trois chiffres en 2019.</w:t>
      </w:r>
    </w:p>
    <w:p w:rsidR="00EF23E6" w:rsidRPr="00EF23E6" w:rsidRDefault="00EF23E6" w:rsidP="00EF23E6">
      <w:pPr>
        <w:spacing w:line="240" w:lineRule="auto"/>
        <w:ind w:left="0" w:right="276"/>
        <w:rPr>
          <w:rFonts w:cs="Arial"/>
          <w:sz w:val="24"/>
          <w:szCs w:val="24"/>
          <w:lang w:val="fr-FR"/>
        </w:rPr>
      </w:pPr>
    </w:p>
    <w:p w:rsidR="00EF23E6" w:rsidRPr="005455DD" w:rsidRDefault="00EF23E6" w:rsidP="00EF23E6">
      <w:pPr>
        <w:spacing w:line="240" w:lineRule="auto"/>
        <w:ind w:left="0" w:right="276"/>
        <w:rPr>
          <w:rFonts w:cs="Arial"/>
          <w:b/>
          <w:sz w:val="24"/>
          <w:szCs w:val="24"/>
          <w:lang w:val="fr-FR"/>
        </w:rPr>
      </w:pPr>
      <w:r w:rsidRPr="005455DD">
        <w:rPr>
          <w:rFonts w:cs="Arial"/>
          <w:b/>
          <w:sz w:val="24"/>
          <w:szCs w:val="24"/>
          <w:lang w:val="fr-FR"/>
        </w:rPr>
        <w:t>Quel est le rôle de la recherche et du développement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L'innovation a toujours été d'une importance capitale pour nous. TGW a de nouveau augmenté son budget de recherche et développement de plus de 16 % pour atteindre un total de 28 millions d'euros au cours du dernier exercice fiscal. Avec près de quatre pour cent du chiffre d'affaires investi</w:t>
      </w:r>
      <w:r w:rsidR="005455DD">
        <w:rPr>
          <w:rFonts w:cs="Arial"/>
          <w:sz w:val="24"/>
          <w:szCs w:val="24"/>
          <w:lang w:val="fr-FR"/>
        </w:rPr>
        <w:t>s</w:t>
      </w:r>
      <w:r w:rsidRPr="00EF23E6">
        <w:rPr>
          <w:rFonts w:cs="Arial"/>
          <w:sz w:val="24"/>
          <w:szCs w:val="24"/>
          <w:lang w:val="fr-FR"/>
        </w:rPr>
        <w:t xml:space="preserve"> dans la recherche et le développement, nous obtenons une valeur élevée. Nous poursuivons dans cette voie, en mettant l'accent sur la robotique et la numérisation. Nous apportons ainsi des réponses aux défis auxquels nombre de nos clients sont confrontés et nous nous positionnons comme un leader technologique dans les domaines de la robotique et de l'automatisation.</w:t>
      </w: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 xml:space="preserve">L'intelligence artificielle et les systèmes cognitifs sont des sujets d'avenir auxquels TGW se consacre intensivement. </w:t>
      </w:r>
      <w:r w:rsidRPr="00EF23E6">
        <w:rPr>
          <w:rFonts w:cs="Arial"/>
          <w:sz w:val="24"/>
          <w:szCs w:val="24"/>
          <w:lang w:val="fr-FR"/>
        </w:rPr>
        <w:lastRenderedPageBreak/>
        <w:t>Ces technologies sont déjà utilisées dans notre robot de prélèvement Rovolution intelligent et auto</w:t>
      </w:r>
      <w:r w:rsidR="005455DD">
        <w:rPr>
          <w:rFonts w:cs="Arial"/>
          <w:sz w:val="24"/>
          <w:szCs w:val="24"/>
          <w:lang w:val="fr-FR"/>
        </w:rPr>
        <w:t>didacte</w:t>
      </w:r>
      <w:r w:rsidRPr="00EF23E6">
        <w:rPr>
          <w:rFonts w:cs="Arial"/>
          <w:sz w:val="24"/>
          <w:szCs w:val="24"/>
          <w:lang w:val="fr-FR"/>
        </w:rPr>
        <w:t xml:space="preserve">. Nos spécialistes ont également développé un </w:t>
      </w:r>
      <w:r w:rsidR="00293615">
        <w:rPr>
          <w:rFonts w:cs="Arial"/>
          <w:sz w:val="24"/>
          <w:szCs w:val="24"/>
          <w:lang w:val="fr-FR"/>
        </w:rPr>
        <w:t>jumeau digital « </w:t>
      </w:r>
      <w:r w:rsidRPr="00EF23E6">
        <w:rPr>
          <w:rFonts w:cs="Arial"/>
          <w:sz w:val="24"/>
          <w:szCs w:val="24"/>
          <w:lang w:val="fr-FR"/>
        </w:rPr>
        <w:t>Digital Twin</w:t>
      </w:r>
      <w:r w:rsidR="00293615">
        <w:rPr>
          <w:rFonts w:cs="Arial"/>
          <w:sz w:val="24"/>
          <w:szCs w:val="24"/>
          <w:lang w:val="fr-FR"/>
        </w:rPr>
        <w:t> » du</w:t>
      </w:r>
      <w:r w:rsidRPr="00EF23E6">
        <w:rPr>
          <w:rFonts w:cs="Arial"/>
          <w:sz w:val="24"/>
          <w:szCs w:val="24"/>
          <w:lang w:val="fr-FR"/>
        </w:rPr>
        <w:t xml:space="preserve"> Rovolution : une </w:t>
      </w:r>
      <w:r w:rsidR="00293615">
        <w:rPr>
          <w:rFonts w:cs="Arial"/>
          <w:sz w:val="24"/>
          <w:szCs w:val="24"/>
          <w:lang w:val="fr-FR"/>
        </w:rPr>
        <w:t>représentation</w:t>
      </w:r>
      <w:r w:rsidRPr="00EF23E6">
        <w:rPr>
          <w:rFonts w:cs="Arial"/>
          <w:sz w:val="24"/>
          <w:szCs w:val="24"/>
          <w:lang w:val="fr-FR"/>
        </w:rPr>
        <w:t xml:space="preserve"> </w:t>
      </w:r>
      <w:r w:rsidR="00293615">
        <w:rPr>
          <w:rFonts w:cs="Arial"/>
          <w:sz w:val="24"/>
          <w:szCs w:val="24"/>
          <w:lang w:val="fr-FR"/>
        </w:rPr>
        <w:t>digitale</w:t>
      </w:r>
      <w:r w:rsidRPr="00EF23E6">
        <w:rPr>
          <w:rFonts w:cs="Arial"/>
          <w:sz w:val="24"/>
          <w:szCs w:val="24"/>
          <w:lang w:val="fr-FR"/>
        </w:rPr>
        <w:t xml:space="preserve"> complète qui est connectée au système physique en temps réel. Ce jumeau numérique rend les décisions et les mouvements du robot visibles, compréhensibles et prévisibles. Avec son aide, nous pouvons analyser les données, en tirer des leçons et les visualiser à l'aide de modèles 3D. Cela permet </w:t>
      </w:r>
      <w:r w:rsidR="00293615">
        <w:rPr>
          <w:rFonts w:cs="Arial"/>
          <w:sz w:val="24"/>
          <w:szCs w:val="24"/>
          <w:lang w:val="fr-FR"/>
        </w:rPr>
        <w:t xml:space="preserve">d’aller au-delà </w:t>
      </w:r>
      <w:r w:rsidRPr="00EF23E6">
        <w:rPr>
          <w:rFonts w:cs="Arial"/>
          <w:sz w:val="24"/>
          <w:szCs w:val="24"/>
          <w:lang w:val="fr-FR"/>
        </w:rPr>
        <w:t xml:space="preserve">de </w:t>
      </w:r>
      <w:r w:rsidR="00293615">
        <w:rPr>
          <w:rFonts w:cs="Arial"/>
          <w:sz w:val="24"/>
          <w:szCs w:val="24"/>
          <w:lang w:val="fr-FR"/>
        </w:rPr>
        <w:t>la surveillance en temps réel du</w:t>
      </w:r>
      <w:r w:rsidRPr="00EF23E6">
        <w:rPr>
          <w:rFonts w:cs="Arial"/>
          <w:sz w:val="24"/>
          <w:szCs w:val="24"/>
          <w:lang w:val="fr-FR"/>
        </w:rPr>
        <w:t xml:space="preserve"> Rovolution. Nos experts peuvent également utiliser une fonction de relecture pour remonter dans le passé afin d'identifier les causes d'erreurs et peuvent également prévoir quand, par exemple, certains travaux de maintenance devront être effectués. Les utilisateurs bénéficient d'une transparence optimale, d'une productivité accrue et de coûts d'exploitation réduits.</w:t>
      </w:r>
    </w:p>
    <w:p w:rsidR="00EF23E6" w:rsidRPr="00EF23E6" w:rsidRDefault="00EF23E6" w:rsidP="00EF23E6">
      <w:pPr>
        <w:spacing w:line="240" w:lineRule="auto"/>
        <w:ind w:left="0" w:right="276"/>
        <w:rPr>
          <w:rFonts w:cs="Arial"/>
          <w:sz w:val="24"/>
          <w:szCs w:val="24"/>
          <w:lang w:val="fr-FR"/>
        </w:rPr>
      </w:pPr>
    </w:p>
    <w:p w:rsidR="00EF23E6" w:rsidRPr="00543D92" w:rsidRDefault="00EF23E6" w:rsidP="00EF23E6">
      <w:pPr>
        <w:spacing w:line="240" w:lineRule="auto"/>
        <w:ind w:left="0" w:right="276"/>
        <w:rPr>
          <w:rFonts w:cs="Arial"/>
          <w:b/>
          <w:sz w:val="24"/>
          <w:szCs w:val="24"/>
          <w:lang w:val="fr-FR"/>
        </w:rPr>
      </w:pPr>
      <w:r w:rsidRPr="00543D92">
        <w:rPr>
          <w:rFonts w:cs="Arial"/>
          <w:b/>
          <w:sz w:val="24"/>
          <w:szCs w:val="24"/>
          <w:lang w:val="fr-FR"/>
        </w:rPr>
        <w:t xml:space="preserve">Quel est l'impact de ces innovations sur l'industrie de l'intralogistique ?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Avec les nouvelles possibilités techniques, par exemple en robotique ou en numérisation, il est possible d'apporter des réponses aux besoins des clients qui étaient auparavant difficiles à résoudre. À l'avenir, seules les entreprises qui sauront tirer le meilleur parti de ces possibilités auront du succès. L'importance du commerce en ligne continuera également de croître. Avec nos solutions système, nous sommes bien positionnés dans ce domaine.</w:t>
      </w:r>
      <w:r>
        <w:rPr>
          <w:rFonts w:cs="Arial"/>
          <w:sz w:val="24"/>
          <w:szCs w:val="24"/>
          <w:lang w:val="fr-FR"/>
        </w:rPr>
        <w:t xml:space="preserve"> </w:t>
      </w:r>
      <w:r w:rsidRPr="00EF23E6">
        <w:rPr>
          <w:rFonts w:cs="Arial"/>
          <w:sz w:val="24"/>
          <w:szCs w:val="24"/>
          <w:lang w:val="fr-FR"/>
        </w:rPr>
        <w:t xml:space="preserve">Mais même avec une part d'e-commerce de 20% du volume total de consommation - et nous en sommes encore loin aujourd'hui - 80% des achats se font encore par le biais du commerce de détail </w:t>
      </w:r>
      <w:r w:rsidR="00B91004">
        <w:rPr>
          <w:rFonts w:cs="Arial"/>
          <w:sz w:val="24"/>
          <w:szCs w:val="24"/>
          <w:lang w:val="fr-FR"/>
        </w:rPr>
        <w:t>physique</w:t>
      </w:r>
      <w:r w:rsidRPr="00EF23E6">
        <w:rPr>
          <w:rFonts w:cs="Arial"/>
          <w:sz w:val="24"/>
          <w:szCs w:val="24"/>
          <w:lang w:val="fr-FR"/>
        </w:rPr>
        <w:t>. Il s'agit également d'un énorme marché à fort potentiel.</w:t>
      </w:r>
    </w:p>
    <w:p w:rsidR="00EF23E6" w:rsidRPr="00EF23E6" w:rsidRDefault="00EF23E6" w:rsidP="00EF23E6">
      <w:pPr>
        <w:spacing w:line="240" w:lineRule="auto"/>
        <w:ind w:left="0" w:right="276"/>
        <w:rPr>
          <w:rFonts w:cs="Arial"/>
          <w:sz w:val="24"/>
          <w:szCs w:val="24"/>
          <w:lang w:val="fr-FR"/>
        </w:rPr>
      </w:pPr>
    </w:p>
    <w:p w:rsidR="00EF23E6" w:rsidRPr="00B91004" w:rsidRDefault="00EF23E6" w:rsidP="00EF23E6">
      <w:pPr>
        <w:spacing w:line="240" w:lineRule="auto"/>
        <w:ind w:left="0" w:right="276"/>
        <w:rPr>
          <w:rFonts w:cs="Arial"/>
          <w:b/>
          <w:sz w:val="24"/>
          <w:szCs w:val="24"/>
          <w:lang w:val="fr-FR"/>
        </w:rPr>
      </w:pPr>
      <w:r w:rsidRPr="00B91004">
        <w:rPr>
          <w:rFonts w:cs="Arial"/>
          <w:b/>
          <w:sz w:val="24"/>
          <w:szCs w:val="24"/>
          <w:lang w:val="fr-FR"/>
        </w:rPr>
        <w:t>TGW appartient à une fondation. Qu'est-ce que cela signifie pour l'entreprise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Notre fondateur Ludwig Szinicz, décédé en 2017, a voulu faire en sorte que TGW reste une entreprise indépendante et stable même après son retrait de la direction opérationnelle. En 2004, il a fondé la TGW Future Private Founda</w:t>
      </w:r>
      <w:r w:rsidRPr="00EF23E6">
        <w:rPr>
          <w:rFonts w:cs="Arial"/>
          <w:sz w:val="24"/>
          <w:szCs w:val="24"/>
          <w:lang w:val="fr-FR"/>
        </w:rPr>
        <w:lastRenderedPageBreak/>
        <w:t>tion et lui a donné toutes les actions du groupe TGW Logistics. Son objectif était d'assurer l'avenir de l'entreprise et d'assurer la pérennité de TGW, conformément à sa philosophie "People at the centre - learning and growing".</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 xml:space="preserve"> </w:t>
      </w:r>
    </w:p>
    <w:p w:rsidR="00EF23E6" w:rsidRPr="00EF23E6" w:rsidRDefault="00B91004" w:rsidP="00EF23E6">
      <w:pPr>
        <w:spacing w:line="240" w:lineRule="auto"/>
        <w:ind w:left="0" w:right="276"/>
        <w:rPr>
          <w:rFonts w:cs="Arial"/>
          <w:sz w:val="24"/>
          <w:szCs w:val="24"/>
          <w:lang w:val="fr-FR"/>
        </w:rPr>
      </w:pPr>
      <w:r>
        <w:rPr>
          <w:rFonts w:cs="Arial"/>
          <w:sz w:val="24"/>
          <w:szCs w:val="24"/>
          <w:lang w:val="fr-FR"/>
        </w:rPr>
        <w:t xml:space="preserve">En tant </w:t>
      </w:r>
      <w:r w:rsidR="00EF23E6" w:rsidRPr="00EF23E6">
        <w:rPr>
          <w:rFonts w:cs="Arial"/>
          <w:sz w:val="24"/>
          <w:szCs w:val="24"/>
          <w:lang w:val="fr-FR"/>
        </w:rPr>
        <w:t xml:space="preserve">fondation, TGW ne peut être vendue ; les deux tiers des bénéfices restent dans l'entreprise et sont investis. Cela fait de TGW un employeur fiable d'une part et un partenaire stable pour ses clients et fournisseurs d'autre part. L'initiative </w:t>
      </w:r>
      <w:r>
        <w:rPr>
          <w:rFonts w:cs="Arial"/>
          <w:sz w:val="24"/>
          <w:szCs w:val="24"/>
          <w:lang w:val="fr-FR"/>
        </w:rPr>
        <w:t>« </w:t>
      </w:r>
      <w:r w:rsidR="00EF23E6" w:rsidRPr="00EF23E6">
        <w:rPr>
          <w:rFonts w:cs="Arial"/>
          <w:sz w:val="24"/>
          <w:szCs w:val="24"/>
          <w:lang w:val="fr-FR"/>
        </w:rPr>
        <w:t>Ailes du futur</w:t>
      </w:r>
      <w:r>
        <w:rPr>
          <w:rFonts w:cs="Arial"/>
          <w:sz w:val="24"/>
          <w:szCs w:val="24"/>
          <w:lang w:val="fr-FR"/>
        </w:rPr>
        <w:t> »</w:t>
      </w:r>
      <w:r w:rsidR="00EF23E6" w:rsidRPr="00EF23E6">
        <w:rPr>
          <w:rFonts w:cs="Arial"/>
          <w:sz w:val="24"/>
          <w:szCs w:val="24"/>
          <w:lang w:val="fr-FR"/>
        </w:rPr>
        <w:t xml:space="preserve"> initie et soutient des projets caritatifs destinés principalement à la formation et à la formation continue des jeunes.</w:t>
      </w:r>
    </w:p>
    <w:p w:rsidR="00EF23E6" w:rsidRPr="00EF23E6" w:rsidRDefault="00EF23E6" w:rsidP="00EF23E6">
      <w:pPr>
        <w:spacing w:line="240" w:lineRule="auto"/>
        <w:ind w:left="0" w:right="276"/>
        <w:rPr>
          <w:rFonts w:cs="Arial"/>
          <w:sz w:val="24"/>
          <w:szCs w:val="24"/>
          <w:lang w:val="fr-FR"/>
        </w:rPr>
      </w:pPr>
    </w:p>
    <w:p w:rsidR="00EF23E6" w:rsidRPr="00B91004" w:rsidRDefault="00EF23E6" w:rsidP="00EF23E6">
      <w:pPr>
        <w:spacing w:line="240" w:lineRule="auto"/>
        <w:ind w:left="0" w:right="276"/>
        <w:rPr>
          <w:rFonts w:cs="Arial"/>
          <w:b/>
          <w:sz w:val="24"/>
          <w:szCs w:val="24"/>
          <w:lang w:val="fr-FR"/>
        </w:rPr>
      </w:pPr>
      <w:r w:rsidRPr="00B91004">
        <w:rPr>
          <w:rFonts w:cs="Arial"/>
          <w:b/>
          <w:sz w:val="24"/>
          <w:szCs w:val="24"/>
          <w:lang w:val="fr-FR"/>
        </w:rPr>
        <w:t>Où voyez-vous des défis et des opportunités futures pour TGW ?</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 xml:space="preserve">L'objectif est d'identifier les opportunités de l'avenir et d'en tirer les bonnes conclusions. Un très haut degré d'automatisation </w:t>
      </w:r>
      <w:r w:rsidR="00BF3F33">
        <w:rPr>
          <w:rFonts w:cs="Arial"/>
          <w:sz w:val="24"/>
          <w:szCs w:val="24"/>
          <w:lang w:val="fr-FR"/>
        </w:rPr>
        <w:t xml:space="preserve">joue </w:t>
      </w:r>
      <w:r w:rsidRPr="00EF23E6">
        <w:rPr>
          <w:rFonts w:cs="Arial"/>
          <w:sz w:val="24"/>
          <w:szCs w:val="24"/>
          <w:lang w:val="fr-FR"/>
        </w:rPr>
        <w:t xml:space="preserve">un rôle central dans les solutions de TGW. Nous voulons aider nos clients à devenir encore plus rapides et efficaces. L'automatisation des opérations et des processus est également une réponse aux défis du commerce électronique et de l'approche </w:t>
      </w:r>
      <w:r w:rsidR="00B91004">
        <w:rPr>
          <w:rFonts w:cs="Arial"/>
          <w:sz w:val="24"/>
          <w:szCs w:val="24"/>
          <w:lang w:val="fr-FR"/>
        </w:rPr>
        <w:t>« </w:t>
      </w:r>
      <w:r w:rsidRPr="00EF23E6">
        <w:rPr>
          <w:rFonts w:cs="Arial"/>
          <w:sz w:val="24"/>
          <w:szCs w:val="24"/>
          <w:lang w:val="fr-FR"/>
        </w:rPr>
        <w:t>Omni</w:t>
      </w:r>
      <w:r w:rsidR="00B91004">
        <w:rPr>
          <w:rFonts w:cs="Arial"/>
          <w:sz w:val="24"/>
          <w:szCs w:val="24"/>
          <w:lang w:val="fr-FR"/>
        </w:rPr>
        <w:t>canal »</w:t>
      </w:r>
      <w:r w:rsidRPr="00EF23E6">
        <w:rPr>
          <w:rFonts w:cs="Arial"/>
          <w:sz w:val="24"/>
          <w:szCs w:val="24"/>
          <w:lang w:val="fr-FR"/>
        </w:rPr>
        <w:t xml:space="preserve"> qui l'accompagne - ainsi qu'à la recherch</w:t>
      </w:r>
      <w:r w:rsidR="00B91004">
        <w:rPr>
          <w:rFonts w:cs="Arial"/>
          <w:sz w:val="24"/>
          <w:szCs w:val="24"/>
          <w:lang w:val="fr-FR"/>
        </w:rPr>
        <w:t xml:space="preserve">e de plus en plus difficile de main d’œuvre </w:t>
      </w:r>
      <w:r w:rsidRPr="00EF23E6">
        <w:rPr>
          <w:rFonts w:cs="Arial"/>
          <w:sz w:val="24"/>
          <w:szCs w:val="24"/>
          <w:lang w:val="fr-FR"/>
        </w:rPr>
        <w:t>dans de nombre</w:t>
      </w:r>
      <w:r w:rsidR="00B91004">
        <w:rPr>
          <w:rFonts w:cs="Arial"/>
          <w:sz w:val="24"/>
          <w:szCs w:val="24"/>
          <w:lang w:val="fr-FR"/>
        </w:rPr>
        <w:t>uses industries. TGW développe d</w:t>
      </w:r>
      <w:r w:rsidRPr="00EF23E6">
        <w:rPr>
          <w:rFonts w:cs="Arial"/>
          <w:sz w:val="24"/>
          <w:szCs w:val="24"/>
          <w:lang w:val="fr-FR"/>
        </w:rPr>
        <w:t>es solutions intelligente</w:t>
      </w:r>
      <w:r w:rsidR="00B91004">
        <w:rPr>
          <w:rFonts w:cs="Arial"/>
          <w:sz w:val="24"/>
          <w:szCs w:val="24"/>
          <w:lang w:val="fr-FR"/>
        </w:rPr>
        <w:t>s</w:t>
      </w:r>
      <w:r w:rsidRPr="00EF23E6">
        <w:rPr>
          <w:rFonts w:cs="Arial"/>
          <w:sz w:val="24"/>
          <w:szCs w:val="24"/>
          <w:lang w:val="fr-FR"/>
        </w:rPr>
        <w:t xml:space="preserve"> et flexible</w:t>
      </w:r>
      <w:r w:rsidR="00B91004">
        <w:rPr>
          <w:rFonts w:cs="Arial"/>
          <w:sz w:val="24"/>
          <w:szCs w:val="24"/>
          <w:lang w:val="fr-FR"/>
        </w:rPr>
        <w:t>s</w:t>
      </w:r>
      <w:r w:rsidRPr="00EF23E6">
        <w:rPr>
          <w:rFonts w:cs="Arial"/>
          <w:sz w:val="24"/>
          <w:szCs w:val="24"/>
          <w:lang w:val="fr-FR"/>
        </w:rPr>
        <w:t xml:space="preserve"> </w:t>
      </w:r>
      <w:r w:rsidR="00B91004">
        <w:rPr>
          <w:rFonts w:cs="Arial"/>
          <w:sz w:val="24"/>
          <w:szCs w:val="24"/>
          <w:lang w:val="fr-FR"/>
        </w:rPr>
        <w:t>permettant ainsi à ses clients de</w:t>
      </w:r>
      <w:r w:rsidRPr="00EF23E6">
        <w:rPr>
          <w:rFonts w:cs="Arial"/>
          <w:sz w:val="24"/>
          <w:szCs w:val="24"/>
          <w:lang w:val="fr-FR"/>
        </w:rPr>
        <w:t xml:space="preserve"> faire face </w:t>
      </w:r>
      <w:r w:rsidR="00B91004" w:rsidRPr="00EF23E6">
        <w:rPr>
          <w:rFonts w:cs="Arial"/>
          <w:sz w:val="24"/>
          <w:szCs w:val="24"/>
          <w:lang w:val="fr-FR"/>
        </w:rPr>
        <w:t xml:space="preserve">à tout moment </w:t>
      </w:r>
      <w:r w:rsidRPr="00EF23E6">
        <w:rPr>
          <w:rFonts w:cs="Arial"/>
          <w:sz w:val="24"/>
          <w:szCs w:val="24"/>
          <w:lang w:val="fr-FR"/>
        </w:rPr>
        <w:t xml:space="preserve">à des changements imprévisibles. TGW est très bien positionnée, ce qui nous permet d'envisager l'avenir avec confiance et d'envisager les 50 prochaines années avec confiance. </w:t>
      </w: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M. Schröpf, merci beaucoup pour l'interview.</w:t>
      </w: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À propos de Harald Schröpf</w:t>
      </w:r>
    </w:p>
    <w:p w:rsidR="00EF23E6" w:rsidRPr="00EF23E6" w:rsidRDefault="00EF23E6" w:rsidP="00EF23E6">
      <w:pPr>
        <w:spacing w:line="240" w:lineRule="auto"/>
        <w:ind w:left="0" w:right="276"/>
        <w:rPr>
          <w:rFonts w:cs="Arial"/>
          <w:sz w:val="24"/>
          <w:szCs w:val="24"/>
          <w:lang w:val="fr-FR"/>
        </w:rPr>
      </w:pPr>
      <w:r w:rsidRPr="00EF23E6">
        <w:rPr>
          <w:rFonts w:cs="Arial"/>
          <w:sz w:val="24"/>
          <w:szCs w:val="24"/>
          <w:lang w:val="fr-FR"/>
        </w:rPr>
        <w:t>Harald Schröpf (né en 1964) est CEO du groupe TGW Logistics depui</w:t>
      </w:r>
      <w:r w:rsidR="00B91004">
        <w:rPr>
          <w:rFonts w:cs="Arial"/>
          <w:sz w:val="24"/>
          <w:szCs w:val="24"/>
          <w:lang w:val="fr-FR"/>
        </w:rPr>
        <w:t xml:space="preserve">s novembre 2017. Auparavant, </w:t>
      </w:r>
      <w:r w:rsidR="00BF3F33">
        <w:rPr>
          <w:rFonts w:cs="Arial"/>
          <w:sz w:val="24"/>
          <w:szCs w:val="24"/>
          <w:lang w:val="fr-FR"/>
        </w:rPr>
        <w:t xml:space="preserve">il </w:t>
      </w:r>
      <w:r w:rsidRPr="00EF23E6">
        <w:rPr>
          <w:rFonts w:cs="Arial"/>
          <w:sz w:val="24"/>
          <w:szCs w:val="24"/>
          <w:lang w:val="fr-FR"/>
        </w:rPr>
        <w:t xml:space="preserve">occupait le poste de </w:t>
      </w:r>
      <w:r w:rsidR="00BF3F33">
        <w:rPr>
          <w:rFonts w:cs="Arial"/>
          <w:sz w:val="24"/>
          <w:szCs w:val="24"/>
          <w:lang w:val="fr-FR"/>
        </w:rPr>
        <w:t>COO</w:t>
      </w:r>
      <w:r w:rsidRPr="00EF23E6">
        <w:rPr>
          <w:rFonts w:cs="Arial"/>
          <w:sz w:val="24"/>
          <w:szCs w:val="24"/>
          <w:lang w:val="fr-FR"/>
        </w:rPr>
        <w:t xml:space="preserve"> de l'entreprise depuis 2009. </w:t>
      </w:r>
    </w:p>
    <w:p w:rsidR="00AA6647" w:rsidRDefault="00AA6647" w:rsidP="005E362F">
      <w:pPr>
        <w:spacing w:line="240" w:lineRule="auto"/>
        <w:ind w:left="0" w:right="276"/>
        <w:rPr>
          <w:rFonts w:cs="Arial"/>
          <w:szCs w:val="20"/>
          <w:lang w:val="fr-FR"/>
        </w:rPr>
      </w:pPr>
    </w:p>
    <w:p w:rsidR="00EF23E6" w:rsidRPr="005E362F" w:rsidRDefault="00EF23E6" w:rsidP="005E362F">
      <w:pPr>
        <w:spacing w:line="240" w:lineRule="auto"/>
        <w:ind w:left="0" w:right="276"/>
        <w:rPr>
          <w:rFonts w:cs="Arial"/>
          <w:szCs w:val="20"/>
          <w:lang w:val="fr-FR"/>
        </w:rPr>
      </w:pPr>
    </w:p>
    <w:p w:rsidR="00560A7A" w:rsidRPr="00EC6AA7" w:rsidRDefault="002D0E70" w:rsidP="005E362F">
      <w:pPr>
        <w:spacing w:line="240" w:lineRule="auto"/>
        <w:ind w:left="0" w:right="276"/>
        <w:rPr>
          <w:rStyle w:val="Hyperlink"/>
          <w:rFonts w:cs="Arial"/>
          <w:color w:val="auto"/>
          <w:u w:val="none"/>
          <w:lang w:val="fr-FR"/>
        </w:rPr>
      </w:pPr>
      <w:hyperlink r:id="rId8" w:history="1">
        <w:r w:rsidR="00560A7A" w:rsidRPr="00EC6AA7">
          <w:rPr>
            <w:rStyle w:val="Hyperlink"/>
            <w:rFonts w:cs="Arial"/>
            <w:lang w:val="fr-FR"/>
          </w:rPr>
          <w:t>www.tgw-group.com</w:t>
        </w:r>
      </w:hyperlink>
      <w:r w:rsidR="00560A7A" w:rsidRPr="00EC6AA7">
        <w:rPr>
          <w:rStyle w:val="Hyperlink"/>
          <w:rFonts w:cs="Arial"/>
          <w:color w:val="auto"/>
          <w:u w:val="none"/>
          <w:lang w:val="fr-FR"/>
        </w:rPr>
        <w:br/>
      </w:r>
    </w:p>
    <w:p w:rsidR="00AB574C" w:rsidRDefault="00AB574C" w:rsidP="00570375">
      <w:pPr>
        <w:pStyle w:val="Standard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Standard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886507" w:rsidRDefault="00886507"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2D0E70" w:rsidRDefault="00167C23" w:rsidP="00167C23">
      <w:pPr>
        <w:spacing w:line="240" w:lineRule="auto"/>
        <w:ind w:left="0" w:right="165"/>
        <w:rPr>
          <w:rFonts w:cs="Arial"/>
          <w:szCs w:val="20"/>
          <w:lang w:val="en-GB"/>
        </w:rPr>
      </w:pPr>
      <w:r w:rsidRPr="002D0E70">
        <w:rPr>
          <w:rFonts w:cs="Arial"/>
          <w:szCs w:val="20"/>
          <w:lang w:val="en-GB"/>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Hyperlink"/>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F5" w:rsidRDefault="00B503F5" w:rsidP="00764006">
      <w:pPr>
        <w:spacing w:line="240" w:lineRule="auto"/>
      </w:pPr>
      <w:r>
        <w:separator/>
      </w:r>
    </w:p>
  </w:endnote>
  <w:endnote w:type="continuationSeparator" w:id="0">
    <w:p w:rsidR="00B503F5" w:rsidRDefault="00B503F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D0E70">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2D0E70">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F5" w:rsidRDefault="00B503F5" w:rsidP="00764006">
      <w:pPr>
        <w:spacing w:line="240" w:lineRule="auto"/>
      </w:pPr>
      <w:r>
        <w:separator/>
      </w:r>
    </w:p>
  </w:footnote>
  <w:footnote w:type="continuationSeparator" w:id="0">
    <w:p w:rsidR="00B503F5" w:rsidRDefault="00B503F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9"/>
  </w:num>
  <w:num w:numId="5">
    <w:abstractNumId w:val="21"/>
  </w:num>
  <w:num w:numId="6">
    <w:abstractNumId w:val="2"/>
  </w:num>
  <w:num w:numId="7">
    <w:abstractNumId w:val="0"/>
  </w:num>
  <w:num w:numId="8">
    <w:abstractNumId w:val="16"/>
  </w:num>
  <w:num w:numId="9">
    <w:abstractNumId w:val="3"/>
  </w:num>
  <w:num w:numId="10">
    <w:abstractNumId w:val="24"/>
  </w:num>
  <w:num w:numId="11">
    <w:abstractNumId w:val="9"/>
  </w:num>
  <w:num w:numId="12">
    <w:abstractNumId w:val="5"/>
  </w:num>
  <w:num w:numId="13">
    <w:abstractNumId w:val="6"/>
  </w:num>
  <w:num w:numId="14">
    <w:abstractNumId w:val="15"/>
  </w:num>
  <w:num w:numId="15">
    <w:abstractNumId w:val="27"/>
  </w:num>
  <w:num w:numId="16">
    <w:abstractNumId w:val="17"/>
  </w:num>
  <w:num w:numId="17">
    <w:abstractNumId w:val="11"/>
  </w:num>
  <w:num w:numId="18">
    <w:abstractNumId w:val="7"/>
  </w:num>
  <w:num w:numId="19">
    <w:abstractNumId w:val="26"/>
  </w:num>
  <w:num w:numId="20">
    <w:abstractNumId w:val="20"/>
  </w:num>
  <w:num w:numId="21">
    <w:abstractNumId w:val="23"/>
  </w:num>
  <w:num w:numId="22">
    <w:abstractNumId w:val="14"/>
  </w:num>
  <w:num w:numId="23">
    <w:abstractNumId w:val="22"/>
  </w:num>
  <w:num w:numId="24">
    <w:abstractNumId w:val="25"/>
  </w:num>
  <w:num w:numId="25">
    <w:abstractNumId w:val="4"/>
  </w:num>
  <w:num w:numId="26">
    <w:abstractNumId w:val="12"/>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6309"/>
    <w:rsid w:val="00007FC6"/>
    <w:rsid w:val="00010196"/>
    <w:rsid w:val="00015103"/>
    <w:rsid w:val="000220DD"/>
    <w:rsid w:val="00023BDF"/>
    <w:rsid w:val="000362EF"/>
    <w:rsid w:val="00036F7E"/>
    <w:rsid w:val="00045C9C"/>
    <w:rsid w:val="00045F47"/>
    <w:rsid w:val="00047282"/>
    <w:rsid w:val="00070C73"/>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6F55"/>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336"/>
    <w:rsid w:val="001F5D6D"/>
    <w:rsid w:val="0020344F"/>
    <w:rsid w:val="00203677"/>
    <w:rsid w:val="002064DA"/>
    <w:rsid w:val="00220DA8"/>
    <w:rsid w:val="00223EA8"/>
    <w:rsid w:val="0023663F"/>
    <w:rsid w:val="00242549"/>
    <w:rsid w:val="00245527"/>
    <w:rsid w:val="00250BA2"/>
    <w:rsid w:val="00262F29"/>
    <w:rsid w:val="0026487A"/>
    <w:rsid w:val="00265358"/>
    <w:rsid w:val="00265D9A"/>
    <w:rsid w:val="00273328"/>
    <w:rsid w:val="002820AB"/>
    <w:rsid w:val="00282D6C"/>
    <w:rsid w:val="00285430"/>
    <w:rsid w:val="00293615"/>
    <w:rsid w:val="002A1224"/>
    <w:rsid w:val="002A19B6"/>
    <w:rsid w:val="002A3009"/>
    <w:rsid w:val="002A564B"/>
    <w:rsid w:val="002A6219"/>
    <w:rsid w:val="002B01D3"/>
    <w:rsid w:val="002C0149"/>
    <w:rsid w:val="002C36E5"/>
    <w:rsid w:val="002C69C9"/>
    <w:rsid w:val="002D0E70"/>
    <w:rsid w:val="002D359B"/>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372"/>
    <w:rsid w:val="00377F06"/>
    <w:rsid w:val="00382EDF"/>
    <w:rsid w:val="00386B3D"/>
    <w:rsid w:val="0039221F"/>
    <w:rsid w:val="00393349"/>
    <w:rsid w:val="003937AD"/>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F4923"/>
    <w:rsid w:val="003F620F"/>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2A5A"/>
    <w:rsid w:val="00456A9F"/>
    <w:rsid w:val="004610E8"/>
    <w:rsid w:val="00462574"/>
    <w:rsid w:val="00463BC2"/>
    <w:rsid w:val="00464F70"/>
    <w:rsid w:val="00465400"/>
    <w:rsid w:val="004713CE"/>
    <w:rsid w:val="004746BE"/>
    <w:rsid w:val="0047613B"/>
    <w:rsid w:val="004832B0"/>
    <w:rsid w:val="00483405"/>
    <w:rsid w:val="00494C82"/>
    <w:rsid w:val="004A3FD4"/>
    <w:rsid w:val="004B03A1"/>
    <w:rsid w:val="004B219C"/>
    <w:rsid w:val="004B3F79"/>
    <w:rsid w:val="004C1AD1"/>
    <w:rsid w:val="004C5917"/>
    <w:rsid w:val="004C5FB2"/>
    <w:rsid w:val="004C6B87"/>
    <w:rsid w:val="004F6ECF"/>
    <w:rsid w:val="0050153C"/>
    <w:rsid w:val="005025FE"/>
    <w:rsid w:val="0050450E"/>
    <w:rsid w:val="005136AB"/>
    <w:rsid w:val="005201E0"/>
    <w:rsid w:val="00523149"/>
    <w:rsid w:val="0053243C"/>
    <w:rsid w:val="0053307C"/>
    <w:rsid w:val="00534D59"/>
    <w:rsid w:val="00543D92"/>
    <w:rsid w:val="005455DD"/>
    <w:rsid w:val="00545BF8"/>
    <w:rsid w:val="005534D9"/>
    <w:rsid w:val="00560A7A"/>
    <w:rsid w:val="00570375"/>
    <w:rsid w:val="00570606"/>
    <w:rsid w:val="00571727"/>
    <w:rsid w:val="00572ACA"/>
    <w:rsid w:val="00574AF2"/>
    <w:rsid w:val="0058443D"/>
    <w:rsid w:val="00585363"/>
    <w:rsid w:val="00595F5F"/>
    <w:rsid w:val="005A4043"/>
    <w:rsid w:val="005A42B3"/>
    <w:rsid w:val="005A4860"/>
    <w:rsid w:val="005B3F84"/>
    <w:rsid w:val="005B5337"/>
    <w:rsid w:val="005B6C1C"/>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27673"/>
    <w:rsid w:val="00630310"/>
    <w:rsid w:val="0063405C"/>
    <w:rsid w:val="006437FF"/>
    <w:rsid w:val="00643CDE"/>
    <w:rsid w:val="00653944"/>
    <w:rsid w:val="006606C6"/>
    <w:rsid w:val="00660B22"/>
    <w:rsid w:val="00661471"/>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45F31"/>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A7452"/>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17BF2"/>
    <w:rsid w:val="00920D0B"/>
    <w:rsid w:val="009242D9"/>
    <w:rsid w:val="009248C3"/>
    <w:rsid w:val="009270E3"/>
    <w:rsid w:val="009275F8"/>
    <w:rsid w:val="009321FE"/>
    <w:rsid w:val="00934BF1"/>
    <w:rsid w:val="00934E46"/>
    <w:rsid w:val="00937996"/>
    <w:rsid w:val="00950F23"/>
    <w:rsid w:val="00963BEA"/>
    <w:rsid w:val="00970363"/>
    <w:rsid w:val="00970784"/>
    <w:rsid w:val="009768AC"/>
    <w:rsid w:val="009805A6"/>
    <w:rsid w:val="00981E8E"/>
    <w:rsid w:val="00985898"/>
    <w:rsid w:val="00986D52"/>
    <w:rsid w:val="00991E54"/>
    <w:rsid w:val="00995D4D"/>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75D3"/>
    <w:rsid w:val="00A63795"/>
    <w:rsid w:val="00A67E5B"/>
    <w:rsid w:val="00A72304"/>
    <w:rsid w:val="00A874D1"/>
    <w:rsid w:val="00A97BFD"/>
    <w:rsid w:val="00AA055D"/>
    <w:rsid w:val="00AA52E5"/>
    <w:rsid w:val="00AA6647"/>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AF3EB7"/>
    <w:rsid w:val="00B017A3"/>
    <w:rsid w:val="00B03B65"/>
    <w:rsid w:val="00B06010"/>
    <w:rsid w:val="00B1229D"/>
    <w:rsid w:val="00B23EE6"/>
    <w:rsid w:val="00B256B5"/>
    <w:rsid w:val="00B31125"/>
    <w:rsid w:val="00B3390D"/>
    <w:rsid w:val="00B41D07"/>
    <w:rsid w:val="00B4317D"/>
    <w:rsid w:val="00B4759A"/>
    <w:rsid w:val="00B503F5"/>
    <w:rsid w:val="00B634B1"/>
    <w:rsid w:val="00B63E4B"/>
    <w:rsid w:val="00B64272"/>
    <w:rsid w:val="00B64531"/>
    <w:rsid w:val="00B74B8A"/>
    <w:rsid w:val="00B74D4F"/>
    <w:rsid w:val="00B8155C"/>
    <w:rsid w:val="00B91004"/>
    <w:rsid w:val="00B932A7"/>
    <w:rsid w:val="00B95BAE"/>
    <w:rsid w:val="00BA4EF4"/>
    <w:rsid w:val="00BB3138"/>
    <w:rsid w:val="00BB3826"/>
    <w:rsid w:val="00BB4A89"/>
    <w:rsid w:val="00BB6455"/>
    <w:rsid w:val="00BB73BD"/>
    <w:rsid w:val="00BC12AE"/>
    <w:rsid w:val="00BC32A2"/>
    <w:rsid w:val="00BC67B9"/>
    <w:rsid w:val="00BD53E1"/>
    <w:rsid w:val="00BD5BE0"/>
    <w:rsid w:val="00BE05A5"/>
    <w:rsid w:val="00BE0D07"/>
    <w:rsid w:val="00BE0EBD"/>
    <w:rsid w:val="00BE154A"/>
    <w:rsid w:val="00BF3F33"/>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35A5D"/>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3F76"/>
    <w:rsid w:val="00C96AB6"/>
    <w:rsid w:val="00CA1801"/>
    <w:rsid w:val="00CA3B88"/>
    <w:rsid w:val="00CA490D"/>
    <w:rsid w:val="00CA4E1A"/>
    <w:rsid w:val="00CA5A78"/>
    <w:rsid w:val="00CA5C99"/>
    <w:rsid w:val="00CB4173"/>
    <w:rsid w:val="00CB6FA6"/>
    <w:rsid w:val="00CC797E"/>
    <w:rsid w:val="00CD6174"/>
    <w:rsid w:val="00CE1EE1"/>
    <w:rsid w:val="00CE38E3"/>
    <w:rsid w:val="00CE57C8"/>
    <w:rsid w:val="00CE5C9C"/>
    <w:rsid w:val="00CE73ED"/>
    <w:rsid w:val="00CF4A67"/>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6774"/>
    <w:rsid w:val="00D56BE6"/>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185E"/>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23E6"/>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5627"/>
    <w:rsid w:val="00F56EB8"/>
    <w:rsid w:val="00F60C5D"/>
    <w:rsid w:val="00F61210"/>
    <w:rsid w:val="00F62691"/>
    <w:rsid w:val="00F76812"/>
    <w:rsid w:val="00F76C2B"/>
    <w:rsid w:val="00F82E3A"/>
    <w:rsid w:val="00F84D1A"/>
    <w:rsid w:val="00F85C2F"/>
    <w:rsid w:val="00F90859"/>
    <w:rsid w:val="00F9169E"/>
    <w:rsid w:val="00FA6051"/>
    <w:rsid w:val="00FB0EAC"/>
    <w:rsid w:val="00FB2BB8"/>
    <w:rsid w:val="00FC37A0"/>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EB2B-3F54-4599-97BF-E63BCF42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7598</Characters>
  <Application>Microsoft Office Word</Application>
  <DocSecurity>4</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Haim Katharina</cp:lastModifiedBy>
  <cp:revision>2</cp:revision>
  <cp:lastPrinted>2019-02-21T13:46:00Z</cp:lastPrinted>
  <dcterms:created xsi:type="dcterms:W3CDTF">2019-12-13T06:42:00Z</dcterms:created>
  <dcterms:modified xsi:type="dcterms:W3CDTF">2019-12-13T06:42:00Z</dcterms:modified>
</cp:coreProperties>
</file>